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i w:val="false"/>
          <w:iCs w:val="false"/>
          <w:color w:val="1F4E79"/>
          <w:sz w:val="36"/>
          <w:szCs w:val="36"/>
        </w:rPr>
        <w:t xml:space="preserve">CE903 Project 3 — Sprint 5 Lane D Deliverables</w:t>
      </w:r>
    </w:p>
    <w:p>
      <w:pPr>
        <w:spacing w:after="60" w:before="0"/>
        <w:jc w:val="left"/>
      </w:pPr>
      <w:r>
        <w:rPr>
          <w:rFonts w:ascii="Arial" w:cs="Arial" w:eastAsia="Arial" w:hAnsi="Arial"/>
          <w:b w:val="false"/>
          <w:bCs w:val="false"/>
          <w:i/>
          <w:iCs/>
          <w:color w:val="2E75B6"/>
          <w:sz w:val="24"/>
          <w:szCs w:val="24"/>
        </w:rPr>
        <w:t xml:space="preserve">Prediction-Lane Integration Contract  |  FR-G1 Dual-ToR Scoping Brief</w:t>
      </w:r>
    </w:p>
    <w:p>
      <w:pPr>
        <w:spacing w:after="180" w:before="0"/>
        <w:jc w:val="left"/>
      </w:pPr>
      <w:r>
        <w:rPr>
          <w:rFonts w:ascii="Arial" w:cs="Arial" w:eastAsia="Arial" w:hAnsi="Arial"/>
          <w:b w:val="false"/>
          <w:bCs w:val="false"/>
          <w:i w:val="false"/>
          <w:iCs w:val="false"/>
          <w:color w:val="595959"/>
          <w:sz w:val="19"/>
          <w:szCs w:val="19"/>
        </w:rPr>
        <w:t xml:space="preserve">Bradley Quinlan — Coordination &amp; Integration Lead  |  Supervisor: Muge Sayit  |  Sprint 5</w:t>
      </w:r>
    </w:p>
    <w:p>
      <w:pPr>
        <w:pBdr>
          <w:bottom w:val="single" w:color="2E75B6" w:sz="4" w:space="1"/>
        </w:pBdr>
        <w:spacing w:after="100" w:before="100"/>
      </w:pPr>
    </w:p>
    <w:p>
      <w:pPr>
        <w:spacing w:after="140" w:before="140"/>
      </w:pPr>
    </w:p>
    <w:p>
      <w:pPr>
        <w:pStyle w:val="Heading1"/>
        <w:spacing w:after="120" w:before="360"/>
      </w:pPr>
      <w:r>
        <w:rPr>
          <w:rFonts w:ascii="Arial" w:cs="Arial" w:eastAsia="Arial" w:hAnsi="Arial"/>
          <w:b/>
          <w:bCs/>
          <w:i w:val="false"/>
          <w:iCs w:val="false"/>
          <w:color w:val="1F4E79"/>
          <w:sz w:val="32"/>
          <w:szCs w:val="32"/>
        </w:rPr>
        <w:t xml:space="preserve">1. Purpose</w:t>
      </w:r>
    </w:p>
    <w:p>
      <w:pPr>
        <w:spacing w:after="80" w:before="80"/>
        <w:jc w:val="left"/>
      </w:pPr>
      <w:r>
        <w:rPr>
          <w:rFonts w:ascii="Arial" w:cs="Arial" w:eastAsia="Arial" w:hAnsi="Arial"/>
          <w:b w:val="false"/>
          <w:bCs w:val="false"/>
          <w:i w:val="false"/>
          <w:iCs w:val="false"/>
          <w:color w:val="000000"/>
          <w:sz w:val="22"/>
          <w:szCs w:val="22"/>
        </w:rPr>
        <w:t xml:space="preserve">This document closes Sprint 5 from the coordination lane. It delivers the two Lane D outputs in the order of priority set in the sprint guide: the prediction-lane integration contract (primary) and the FR-G1 dual-ToR scoping brief (secondary).</w:t>
      </w:r>
    </w:p>
    <w:p>
      <w:pPr>
        <w:spacing w:after="80" w:before="80"/>
        <w:jc w:val="left"/>
      </w:pPr>
      <w:r>
        <w:rPr>
          <w:rFonts w:ascii="Arial" w:cs="Arial" w:eastAsia="Arial" w:hAnsi="Arial"/>
          <w:b w:val="false"/>
          <w:bCs w:val="false"/>
          <w:i w:val="false"/>
          <w:iCs w:val="false"/>
          <w:color w:val="000000"/>
          <w:sz w:val="22"/>
          <w:szCs w:val="22"/>
        </w:rPr>
        <w:t xml:space="preserve">The integration contract is the </w:t>
      </w:r>
      <w:r>
        <w:rPr>
          <w:rFonts w:ascii="Arial" w:cs="Arial" w:eastAsia="Arial" w:hAnsi="Arial"/>
          <w:b/>
          <w:bCs/>
          <w:i w:val="false"/>
          <w:iCs w:val="false"/>
          <w:color w:val="000000"/>
          <w:sz w:val="22"/>
          <w:szCs w:val="22"/>
        </w:rPr>
        <w:t xml:space="preserve">spine</w:t>
      </w:r>
      <w:r>
        <w:rPr>
          <w:rFonts w:ascii="Arial" w:cs="Arial" w:eastAsia="Arial" w:hAnsi="Arial"/>
          <w:b w:val="false"/>
          <w:bCs w:val="false"/>
          <w:i w:val="false"/>
          <w:iCs w:val="false"/>
          <w:color w:val="000000"/>
          <w:sz w:val="22"/>
          <w:szCs w:val="22"/>
        </w:rPr>
        <w:t xml:space="preserve"> — the comparison schema that fixes metrics, failure pattern, and trace so all three exploration lanes (A, B, C) report commensurably into the Sprint 6 model-selection decision. The FR-G1 brief lays warm groundwork for the dual-ToR emulation Sprint 6 inherits.</w:t>
      </w:r>
    </w:p>
    <w:p>
      <w:pPr>
        <w:spacing w:after="160" w:before="80"/>
        <w:jc w:val="left"/>
      </w:pPr>
      <w:r>
        <w:rPr>
          <w:rFonts w:ascii="Arial" w:cs="Arial" w:eastAsia="Arial" w:hAnsi="Arial"/>
          <w:b w:val="false"/>
          <w:bCs w:val="false"/>
          <w:i w:val="false"/>
          <w:iCs w:val="false"/>
          <w:color w:val="000000"/>
          <w:sz w:val="22"/>
          <w:szCs w:val="22"/>
        </w:rPr>
        <w:t xml:space="preserve">Both outputs are grounded in the framing we have held since Sprint 4: </w:t>
      </w:r>
      <w:r>
        <w:rPr>
          <w:rFonts w:ascii="Arial" w:cs="Arial" w:eastAsia="Arial" w:hAnsi="Arial"/>
          <w:b w:val="false"/>
          <w:bCs w:val="false"/>
          <w:i/>
          <w:iCs/>
          <w:color w:val="000000"/>
          <w:sz w:val="22"/>
          <w:szCs w:val="22"/>
        </w:rPr>
        <w:t xml:space="preserve">we built the ruler — now we measure with it.</w:t>
      </w:r>
      <w:r>
        <w:rPr>
          <w:rFonts w:ascii="Arial" w:cs="Arial" w:eastAsia="Arial" w:hAnsi="Arial"/>
          <w:b w:val="false"/>
          <w:bCs w:val="false"/>
          <w:i w:val="false"/>
          <w:iCs w:val="false"/>
          <w:color w:val="000000"/>
          <w:sz w:val="22"/>
          <w:szCs w:val="22"/>
        </w:rPr>
        <w:t xml:space="preserve"> The integration contract is the ruler the exploration gets measured against.</w:t>
      </w:r>
    </w:p>
    <w:p>
      <w:pPr>
        <w:pStyle w:val="Heading1"/>
        <w:spacing w:after="120" w:before="360"/>
      </w:pPr>
      <w:r>
        <w:rPr>
          <w:rFonts w:ascii="Arial" w:cs="Arial" w:eastAsia="Arial" w:hAnsi="Arial"/>
          <w:b/>
          <w:bCs/>
          <w:i w:val="false"/>
          <w:iCs w:val="false"/>
          <w:color w:val="1F4E79"/>
          <w:sz w:val="32"/>
          <w:szCs w:val="32"/>
        </w:rPr>
        <w:t xml:space="preserve">2. Fixed Comparison Frame</w:t>
      </w:r>
    </w:p>
    <w:p>
      <w:pPr>
        <w:spacing w:after="100" w:before="80"/>
        <w:jc w:val="left"/>
      </w:pPr>
      <w:r>
        <w:rPr>
          <w:rFonts w:ascii="Arial" w:cs="Arial" w:eastAsia="Arial" w:hAnsi="Arial"/>
          <w:b w:val="false"/>
          <w:bCs w:val="false"/>
          <w:i w:val="false"/>
          <w:iCs w:val="false"/>
          <w:color w:val="000000"/>
          <w:sz w:val="22"/>
          <w:szCs w:val="22"/>
        </w:rPr>
        <w:t xml:space="preserve">Every prediction lane is evaluated against the same baseline. These values are fixed and do not vary between lanes — that is what makes the comparison commensurable and the eventual model-selection decision evidence-based rather than a matter of taste.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Parameter</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Fixed value — same across all prediction lanes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Workload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GPT-2, Ring AllReduce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Baseline topology</w:t>
            </w:r>
          </w:p>
        </w:tc>
        <w:tc>
          <w:tcPr>
            <w:tcW w:type="dxa" w:w="67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4-NPU</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Failure topology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3-NPU (post-TC-03 ring reformation)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Failure pattern</w:t>
            </w:r>
          </w:p>
        </w:tc>
        <w:tc>
          <w:tcPr>
            <w:tcW w:type="dxa" w:w="67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GSP XID 119 — recovery 0.3 hrs — seed 42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Baseline JCT recovery penalty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3.0% (TC-03 result, Sprint 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Simulation instrument</w:t>
            </w:r>
          </w:p>
        </w:tc>
        <w:tc>
          <w:tcPr>
            <w:tcW w:type="dxa" w:w="67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ASTRA-sim 2.0, Chakra pipeline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Precision assumption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FP32 — to be confirmed with Kyle before Sprint 6 (see Section 5)</w:t>
            </w:r>
          </w:p>
        </w:tc>
      </w:tr>
    </w:tbl>
    <w:p>
      <w:pPr>
        <w:spacing w:after="160" w:before="160"/>
      </w:pPr>
    </w:p>
    <w:p>
      <w:pPr>
        <w:pStyle w:val="Heading1"/>
        <w:spacing w:after="120" w:before="360"/>
      </w:pPr>
      <w:r>
        <w:rPr>
          <w:rFonts w:ascii="Arial" w:cs="Arial" w:eastAsia="Arial" w:hAnsi="Arial"/>
          <w:b/>
          <w:bCs/>
          <w:i w:val="false"/>
          <w:iCs w:val="false"/>
          <w:color w:val="1F4E79"/>
          <w:sz w:val="32"/>
          <w:szCs w:val="32"/>
        </w:rPr>
        <w:t xml:space="preserve">3. Prediction-Lane Integration Contract</w:t>
      </w:r>
    </w:p>
    <w:p>
      <w:pPr>
        <w:spacing w:after="100" w:before="80"/>
        <w:jc w:val="left"/>
      </w:pPr>
      <w:r>
        <w:rPr>
          <w:rFonts w:ascii="Arial" w:cs="Arial" w:eastAsia="Arial" w:hAnsi="Arial"/>
          <w:b w:val="false"/>
          <w:bCs w:val="false"/>
          <w:i w:val="false"/>
          <w:iCs w:val="false"/>
          <w:color w:val="000000"/>
          <w:sz w:val="22"/>
          <w:szCs w:val="22"/>
        </w:rPr>
        <w:t xml:space="preserve">The table below is the integration contract. Each column is a lane; each row is a field the lane must populate before its output feeds the Sprint 6 model-selection decision. All three lane outputs are in hand — the schema is fully populated. Lane C’s column reflects Roshan’s clean negative result: a valid and useful finding that protects Sprint 6 from a dead end, not a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Field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Lane A — Kyle (Congestion / routing prediction)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Lane B — Navami (Failure prediction)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Lane C — Roshan (Time-shift scoping)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Prediction target</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Next all-reduce burst timing — predict the inter-burst interval from the ALL_REDUCE event series in Chakra .et traces</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GPU failure (GSP / XID 119) — predict whether a hard stall follows within N steps of a soft stall (k_soft = 1.5x)</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N/A — CASSINI time-shift mechanism scoped and assessed. Verdict: not viable for single-workload setup. Clean negative result.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SRS traceability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FR-P1, FR-P2, FR-N2 -&gt; TC-04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FR-G2, FR-G3, NFR-P1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FR-P2 -&gt; TC-04 (secondary / deferred)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Candidate model</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Sliding-window LSTM</w:t>
            </w:r>
          </w:p>
          <w:p>
            <w:pPr>
              <w:spacing w:after="30" w:before="30"/>
              <w:jc w:val="left"/>
            </w:pPr>
            <w:r>
              <w:rPr>
                <w:rFonts w:ascii="Arial" w:cs="Arial" w:eastAsia="Arial" w:hAnsi="Arial"/>
                <w:b w:val="false"/>
                <w:bCs w:val="false"/>
                <w:i w:val="false"/>
                <w:iCs w:val="false"/>
                <w:color w:val="000000"/>
                <w:sz w:val="19"/>
                <w:szCs w:val="19"/>
              </w:rPr>
              <w:t xml:space="preserve">Input window L = 8 intervals; hidden size 32; FC -&gt; scalar output; MSE loss; Adam optimiser</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Sliding-window LSTM</w:t>
            </w:r>
          </w:p>
          <w:p>
            <w:pPr>
              <w:spacing w:after="30" w:before="30"/>
              <w:jc w:val="left"/>
            </w:pPr>
            <w:r>
              <w:rPr>
                <w:rFonts w:ascii="Arial" w:cs="Arial" w:eastAsia="Arial" w:hAnsi="Arial"/>
                <w:b w:val="false"/>
                <w:bCs w:val="false"/>
                <w:i w:val="false"/>
                <w:iCs w:val="false"/>
                <w:color w:val="000000"/>
                <w:sz w:val="19"/>
                <w:szCs w:val="19"/>
              </w:rPr>
              <w:t xml:space="preserve">Input W = 5 steps x 4 features; single-layer; Dense -&gt; Sigmoid; binary classification; PyTorch</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N/A — no model warranted; single-workload setup provides nothing to time-shift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Input 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Inter-burst interval series extracted from ALL_REDUCE event timestamps in Chakra .et traces (both pod_a and pod_b workloads)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AllReduce step time; collective completion ratio; NCCL soft stall flag (k_soft = 1.5x); node throughput.</w:t>
            </w:r>
          </w:p>
          <w:p>
            <w:pPr>
              <w:spacing w:after="30" w:before="30"/>
              <w:jc w:val="left"/>
            </w:pPr>
            <w:r>
              <w:rPr>
                <w:rFonts w:ascii="Arial" w:cs="Arial" w:eastAsia="Arial" w:hAnsi="Arial"/>
                <w:b w:val="false"/>
                <w:bCs w:val="false"/>
                <w:i w:val="false"/>
                <w:iCs w:val="false"/>
                <w:color w:val="000000"/>
                <w:sz w:val="19"/>
                <w:szCs w:val="19"/>
              </w:rPr>
              <w:t xml:space="preserve">Hardware telemetry NOT available in ASTRA-sim — key constraint; acknowledged and handled.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Lead time / horizon</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2-3 bursts ahead (baseline, CV &lt; 5%, lag-1 autocorrelation ~0.9+)</w:t>
            </w:r>
          </w:p>
          <w:p>
            <w:pPr>
              <w:spacing w:after="30" w:before="30"/>
              <w:jc w:val="left"/>
            </w:pPr>
            <w:r>
              <w:rPr>
                <w:rFonts w:ascii="Arial" w:cs="Arial" w:eastAsia="Arial" w:hAnsi="Arial"/>
                <w:b w:val="false"/>
                <w:bCs w:val="false"/>
                <w:i w:val="false"/>
                <w:iCs w:val="false"/>
                <w:color w:val="000000"/>
                <w:sz w:val="19"/>
                <w:szCs w:val="19"/>
              </w:rPr>
              <w:t xml:space="preserve">Degrades immediately after topology change; recovers once 3-NPU steady state is reached</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Option A: 1-2 training steps ahead (soft stall as earliest in-simulation pre-fault signal)</w:t>
            </w:r>
          </w:p>
          <w:p>
            <w:pPr>
              <w:spacing w:after="30" w:before="30"/>
              <w:jc w:val="left"/>
            </w:pPr>
            <w:r>
              <w:rPr>
                <w:rFonts w:ascii="Arial" w:cs="Arial" w:eastAsia="Arial" w:hAnsi="Arial"/>
                <w:b w:val="false"/>
                <w:bCs w:val="false"/>
                <w:i w:val="false"/>
                <w:iCs w:val="false"/>
                <w:color w:val="000000"/>
                <w:sz w:val="19"/>
                <w:szCs w:val="19"/>
              </w:rPr>
              <w:t xml:space="preserve">Option B: up to 5 steps (synthetic degradation ramp — Sprint 6 extension)</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Accuracy metric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1-step MAE: 5-10% of mean interval</w:t>
            </w:r>
          </w:p>
          <w:p>
            <w:pPr>
              <w:spacing w:after="30" w:before="30"/>
              <w:jc w:val="left"/>
            </w:pPr>
            <w:r>
              <w:rPr>
                <w:rFonts w:ascii="Arial" w:cs="Arial" w:eastAsia="Arial" w:hAnsi="Arial"/>
                <w:b w:val="false"/>
                <w:bCs w:val="false"/>
                <w:i w:val="false"/>
                <w:iCs w:val="false"/>
                <w:color w:val="000000"/>
                <w:sz w:val="19"/>
                <w:szCs w:val="19"/>
              </w:rPr>
              <w:t xml:space="preserve">Multi-step horizon degrades meaningfully beyond 3 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Sprint 6 target: precision &gt; 70%, recall reported alongside</w:t>
            </w:r>
          </w:p>
          <w:p>
            <w:pPr>
              <w:spacing w:after="30" w:before="30"/>
              <w:jc w:val="left"/>
            </w:pPr>
            <w:r>
              <w:rPr>
                <w:rFonts w:ascii="Arial" w:cs="Arial" w:eastAsia="Arial" w:hAnsi="Arial"/>
                <w:b w:val="false"/>
                <w:bCs w:val="false"/>
                <w:i w:val="false"/>
                <w:iCs w:val="false"/>
                <w:color w:val="000000"/>
                <w:sz w:val="19"/>
                <w:szCs w:val="19"/>
              </w:rPr>
              <w:t xml:space="preserve">Lead time &gt;= 1 training step required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Expected JCT improvement</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Measurable reduction vs ECMP reactive baseline under TC-03 failure pattern.</w:t>
            </w:r>
          </w:p>
          <w:p>
            <w:pPr>
              <w:spacing w:after="30" w:before="30"/>
              <w:jc w:val="left"/>
            </w:pPr>
            <w:r>
              <w:rPr>
                <w:rFonts w:ascii="Arial" w:cs="Arial" w:eastAsia="Arial" w:hAnsi="Arial"/>
                <w:b w:val="false"/>
                <w:bCs w:val="false"/>
                <w:i w:val="false"/>
                <w:iCs w:val="false"/>
                <w:color w:val="000000"/>
                <w:sz w:val="19"/>
                <w:szCs w:val="19"/>
              </w:rPr>
              <w:t xml:space="preserve">Routing lead time condition: reconfiguration time &lt; T - E. Quantified in Sprint 6 integration run.</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Option A: 3.0% -&gt; ~1.5-2.0% recovery penalty (1-2 step lead time; proactive checkpoint)</w:t>
            </w:r>
          </w:p>
          <w:p>
            <w:pPr>
              <w:spacing w:after="30" w:before="30"/>
              <w:jc w:val="left"/>
            </w:pPr>
            <w:r>
              <w:rPr>
                <w:rFonts w:ascii="Arial" w:cs="Arial" w:eastAsia="Arial" w:hAnsi="Arial"/>
                <w:b w:val="false"/>
                <w:bCs w:val="false"/>
                <w:i w:val="false"/>
                <w:iCs w:val="false"/>
                <w:color w:val="000000"/>
                <w:sz w:val="19"/>
                <w:szCs w:val="19"/>
              </w:rPr>
              <w:t xml:space="preserve">Option B: potentially near 0% (5-step lead time + synthetic degradation)</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No improvement in single-workload setup.</w:t>
            </w:r>
          </w:p>
          <w:p>
            <w:pPr>
              <w:spacing w:after="30" w:before="30"/>
              <w:jc w:val="left"/>
            </w:pPr>
            <w:r>
              <w:rPr>
                <w:rFonts w:ascii="Arial" w:cs="Arial" w:eastAsia="Arial" w:hAnsi="Arial"/>
                <w:b w:val="false"/>
                <w:bCs w:val="false"/>
                <w:i w:val="false"/>
                <w:iCs w:val="false"/>
                <w:color w:val="000000"/>
                <w:sz w:val="19"/>
                <w:szCs w:val="19"/>
              </w:rPr>
              <w:t xml:space="preserve">Multi-workload extension deferred — not a blocker for TC-04.</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Sprint 6 acceptance 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MAE &lt; 10% on TC-03 trace; usable horizon &gt;= 2 bursts; router pre-positioned before burst lands; median JCT lower than ECMP reactive baseline under TC-03 failure pattern.</w:t>
            </w:r>
          </w:p>
          <w:p>
            <w:pPr>
              <w:spacing w:after="30" w:before="30"/>
              <w:jc w:val="left"/>
            </w:pPr>
            <w:r>
              <w:rPr>
                <w:rFonts w:ascii="Arial" w:cs="Arial" w:eastAsia="Arial" w:hAnsi="Arial"/>
                <w:b w:val="false"/>
                <w:bCs w:val="false"/>
                <w:i w:val="false"/>
                <w:iCs w:val="false"/>
                <w:color w:val="000000"/>
                <w:sz w:val="19"/>
                <w:szCs w:val="19"/>
              </w:rPr>
              <w:t xml:space="preserve">-&gt; Primary TC-04 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LSTM precision &gt; 70%; lead time &gt;= 1 step; JCT recovery penalty measurably below 3.0% TC-03 baseline.</w:t>
            </w:r>
          </w:p>
          <w:p>
            <w:pPr>
              <w:spacing w:after="30" w:before="30"/>
              <w:jc w:val="left"/>
            </w:pPr>
            <w:r>
              <w:rPr>
                <w:rFonts w:ascii="Arial" w:cs="Arial" w:eastAsia="Arial" w:hAnsi="Arial"/>
                <w:b w:val="false"/>
                <w:bCs w:val="false"/>
                <w:i w:val="false"/>
                <w:iCs w:val="false"/>
                <w:color w:val="000000"/>
                <w:sz w:val="19"/>
                <w:szCs w:val="19"/>
              </w:rPr>
              <w:t xml:space="preserve">-&gt; NFR-P1 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Go / no-go decision on multi-workload extension.</w:t>
            </w:r>
          </w:p>
          <w:p>
            <w:pPr>
              <w:spacing w:after="30" w:before="30"/>
              <w:jc w:val="left"/>
            </w:pPr>
            <w:r>
              <w:rPr>
                <w:rFonts w:ascii="Arial" w:cs="Arial" w:eastAsia="Arial" w:hAnsi="Arial"/>
                <w:b w:val="false"/>
                <w:bCs w:val="false"/>
                <w:i w:val="false"/>
                <w:iCs w:val="false"/>
                <w:color w:val="000000"/>
                <w:sz w:val="19"/>
                <w:szCs w:val="19"/>
              </w:rPr>
              <w:t xml:space="preserve">Primary FR-P2 path remains Lane 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TC-03 pattern used</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GSP XID 119 — recovery 0.3 hrs — seed 42</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GSP XID 119 — recovery 0.3 hrs — seed 42</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GSP XID 119 — recovery 0.3 hrs — seed 42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Sprint 6 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PRIMARY — congestion-aware routing (FR-P1, FR-P2)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PRIMARY — fault pre-emption (FR-G2, FR-G3, NFR-P1)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SECONDARY / DEFERRED — revisit if schedule permits multi-workload extension</w:t>
            </w:r>
          </w:p>
        </w:tc>
      </w:tr>
    </w:tbl>
    <w:p>
      <w:pPr>
        <w:spacing w:after="160" w:before="160"/>
      </w:pPr>
    </w:p>
    <w:p>
      <w:pPr>
        <w:pStyle w:val="Heading1"/>
        <w:spacing w:after="120" w:before="360"/>
      </w:pPr>
      <w:r>
        <w:rPr>
          <w:rFonts w:ascii="Arial" w:cs="Arial" w:eastAsia="Arial" w:hAnsi="Arial"/>
          <w:b/>
          <w:bCs/>
          <w:i w:val="false"/>
          <w:iCs w:val="false"/>
          <w:color w:val="1F4E79"/>
          <w:sz w:val="32"/>
          <w:szCs w:val="32"/>
        </w:rPr>
        <w:t xml:space="preserve">4. TC-04 Gate — Confirmed Wording</w:t>
      </w:r>
    </w:p>
    <w:p>
      <w:pPr>
        <w:spacing w:after="120" w:before="80"/>
        <w:jc w:val="left"/>
      </w:pPr>
      <w:r>
        <w:rPr>
          <w:rFonts w:ascii="Arial" w:cs="Arial" w:eastAsia="Arial" w:hAnsi="Arial"/>
          <w:b w:val="false"/>
          <w:bCs w:val="false"/>
          <w:i w:val="false"/>
          <w:iCs w:val="false"/>
          <w:color w:val="000000"/>
          <w:sz w:val="22"/>
          <w:szCs w:val="22"/>
        </w:rPr>
        <w:t xml:space="preserve">With all three lane outputs in hand, TC-04 can now be pinned. The gate splits into two sub-gates aligned to the two genuinely distinct SRS prediction targets — the same structure Muge endorsed when she framed this as multi-layered publishable work.</w:t>
      </w:r>
    </w:p>
    <w:p>
      <w:pPr>
        <w:pStyle w:val="Heading2"/>
        <w:spacing w:after="100" w:before="240"/>
      </w:pPr>
      <w:r>
        <w:rPr>
          <w:rFonts w:ascii="Arial" w:cs="Arial" w:eastAsia="Arial" w:hAnsi="Arial"/>
          <w:b/>
          <w:bCs/>
          <w:i w:val="false"/>
          <w:iCs w:val="false"/>
          <w:color w:val="2E75B6"/>
          <w:sz w:val="26"/>
          <w:szCs w:val="26"/>
        </w:rPr>
        <w:t xml:space="preserve">4.1 Primary gate — congestion-aware routing (Lane A, FR-P2)</w:t>
      </w:r>
    </w:p>
    <w:p>
      <w:pPr>
        <w:spacing w:after="120" w:before="80"/>
        <w:jc w:val="left"/>
      </w:pPr>
      <w:r>
        <w:rPr>
          <w:rFonts w:ascii="Arial" w:cs="Arial" w:eastAsia="Arial" w:hAnsi="Arial"/>
          <w:b w:val="false"/>
          <w:bCs w:val="false"/>
          <w:i w:val="false"/>
          <w:iCs w:val="false"/>
          <w:color w:val="000000"/>
          <w:sz w:val="22"/>
          <w:szCs w:val="22"/>
        </w:rPr>
        <w:t xml:space="preserve">Under the TC-03 failure pattern (GSP XID 119, seed 42, 4→3 NPU), the Lane A burst-timing LSTM (input window L = 8, MAE &lt; 10%, usable horizon ≥2 bursts) pre-positions routes before the next all-reduce burst lands and achieves a lower median JCT than the ECMP reactive baseline. This is the primary Sprint 6 acceptance test — TC-04 as defined in the SRS.</w:t>
      </w:r>
    </w:p>
    <w:p>
      <w:pPr>
        <w:pStyle w:val="Heading2"/>
        <w:spacing w:after="100" w:before="240"/>
      </w:pPr>
      <w:r>
        <w:rPr>
          <w:rFonts w:ascii="Arial" w:cs="Arial" w:eastAsia="Arial" w:hAnsi="Arial"/>
          <w:b/>
          <w:bCs/>
          <w:i w:val="false"/>
          <w:iCs w:val="false"/>
          <w:color w:val="2E75B6"/>
          <w:sz w:val="26"/>
          <w:szCs w:val="26"/>
        </w:rPr>
        <w:t xml:space="preserve">4.2 Secondary gate — fault pre-emption (Lane B, NFR-P1)</w:t>
      </w:r>
    </w:p>
    <w:p>
      <w:pPr>
        <w:spacing w:after="160" w:before="80"/>
        <w:jc w:val="left"/>
      </w:pPr>
      <w:r>
        <w:rPr>
          <w:rFonts w:ascii="Arial" w:cs="Arial" w:eastAsia="Arial" w:hAnsi="Arial"/>
          <w:b w:val="false"/>
          <w:bCs w:val="false"/>
          <w:i w:val="false"/>
          <w:iCs w:val="false"/>
          <w:color w:val="000000"/>
          <w:sz w:val="22"/>
          <w:szCs w:val="22"/>
        </w:rPr>
        <w:t xml:space="preserve">The Lane B fault-prediction LSTM (W = 5 steps, 4 features, precision &gt; 70%, lead time ≥1 step) triggers a proactive checkpoint before the hard stall fires and pulls the JCT recovery penalty measurably below the 3.0% TC-03 baseline. This maps to NFR-P1 rather than TC-04 directly — the second prediction target the SRS mandates, and the finding that makes the work two-layered rather than single-track.</w:t>
      </w:r>
    </w:p>
    <w:p>
      <w:pPr>
        <w:pStyle w:val="Heading1"/>
        <w:spacing w:after="120" w:before="360"/>
      </w:pPr>
      <w:r>
        <w:rPr>
          <w:rFonts w:ascii="Arial" w:cs="Arial" w:eastAsia="Arial" w:hAnsi="Arial"/>
          <w:b/>
          <w:bCs/>
          <w:i w:val="false"/>
          <w:iCs w:val="false"/>
          <w:color w:val="1F4E79"/>
          <w:sz w:val="32"/>
          <w:szCs w:val="32"/>
        </w:rPr>
        <w:t xml:space="preserve">5. Open Item — FP32 vs Mixed Precision</w:t>
      </w:r>
    </w:p>
    <w:p>
      <w:pPr>
        <w:spacing w:after="80" w:before="80"/>
        <w:jc w:val="left"/>
      </w:pPr>
      <w:r>
        <w:rPr>
          <w:rFonts w:ascii="Arial" w:cs="Arial" w:eastAsia="Arial" w:hAnsi="Arial"/>
          <w:b w:val="false"/>
          <w:bCs w:val="false"/>
          <w:i w:val="false"/>
          <w:iCs w:val="false"/>
          <w:color w:val="000000"/>
          <w:sz w:val="22"/>
          <w:szCs w:val="22"/>
        </w:rPr>
        <w:t xml:space="preserve">One item from the sprint’s open-items list is still unresolved going into Sprint 6. The FP32 vs mixed-precision assumption sets the AllReduce message-size values that scale the inter-burst interval magnitude in Lane A’s predictor. Kyle’s output does not address it — I will confirm this with Kyle before Sprint 6 planning so the Lane A integration run uses the correct message-size inputs.</w:t>
      </w:r>
    </w:p>
    <w:p>
      <w:pPr>
        <w:spacing w:after="160" w:before="80"/>
        <w:jc w:val="left"/>
      </w:pPr>
      <w:r>
        <w:rPr>
          <w:rFonts w:ascii="Arial" w:cs="Arial" w:eastAsia="Arial" w:hAnsi="Arial"/>
          <w:b w:val="false"/>
          <w:bCs w:val="false"/>
          <w:i w:val="false"/>
          <w:iCs w:val="false"/>
          <w:color w:val="000000"/>
          <w:sz w:val="22"/>
          <w:szCs w:val="22"/>
        </w:rPr>
        <w:t xml:space="preserve">All other sprint open items are resolved: TC-04 gate wording is confirmed (Section 4); time-shift transferability is settled (Lane C verdict — scoped out, primary path is Lane A); all four lane outputs are in hand.</w:t>
      </w:r>
    </w:p>
    <w:p>
      <w:pPr>
        <w:spacing w:after="0" w:before="0"/>
      </w:pPr>
      <w:r>
        <w:br w:type="page"/>
      </w:r>
    </w:p>
    <w:p>
      <w:pPr>
        <w:pStyle w:val="Heading1"/>
        <w:spacing w:after="120" w:before="360"/>
      </w:pPr>
      <w:r>
        <w:rPr>
          <w:rFonts w:ascii="Arial" w:cs="Arial" w:eastAsia="Arial" w:hAnsi="Arial"/>
          <w:b/>
          <w:bCs/>
          <w:i w:val="false"/>
          <w:iCs w:val="false"/>
          <w:color w:val="1F4E79"/>
          <w:sz w:val="32"/>
          <w:szCs w:val="32"/>
        </w:rPr>
        <w:t xml:space="preserve">6. FR-G1 Dual-ToR Scoping Brief</w:t>
      </w:r>
    </w:p>
    <w:p>
      <w:pPr>
        <w:spacing w:after="120" w:before="80"/>
        <w:jc w:val="left"/>
      </w:pPr>
      <w:r>
        <w:rPr>
          <w:rFonts w:ascii="Arial" w:cs="Arial" w:eastAsia="Arial" w:hAnsi="Arial"/>
          <w:b w:val="false"/>
          <w:bCs w:val="false"/>
          <w:i w:val="false"/>
          <w:iCs w:val="false"/>
          <w:color w:val="000000"/>
          <w:sz w:val="22"/>
          <w:szCs w:val="22"/>
        </w:rPr>
        <w:t xml:space="preserve">Secondary Lane D strand: enough of the Alibaba HPN dual-ToR design to warm-start the Sprint 6 FR-G1 emulation work. The intent is a defined starting point — not a vague intention — so the Pod members who inherit this workstream are not starting cold.</w:t>
      </w:r>
    </w:p>
    <w:p>
      <w:pPr>
        <w:pStyle w:val="Heading2"/>
        <w:spacing w:after="100" w:before="240"/>
      </w:pPr>
      <w:r>
        <w:rPr>
          <w:rFonts w:ascii="Arial" w:cs="Arial" w:eastAsia="Arial" w:hAnsi="Arial"/>
          <w:b/>
          <w:bCs/>
          <w:i w:val="false"/>
          <w:iCs w:val="false"/>
          <w:color w:val="2E75B6"/>
          <w:sz w:val="26"/>
          <w:szCs w:val="26"/>
        </w:rPr>
        <w:t xml:space="preserve">6.1 What dual-ToR is and why FR-G1 references it</w:t>
      </w:r>
    </w:p>
    <w:p>
      <w:pPr>
        <w:spacing w:after="80" w:before="80"/>
        <w:jc w:val="left"/>
      </w:pPr>
      <w:r>
        <w:rPr>
          <w:rFonts w:ascii="Arial" w:cs="Arial" w:eastAsia="Arial" w:hAnsi="Arial"/>
          <w:b w:val="false"/>
          <w:bCs w:val="false"/>
          <w:i w:val="false"/>
          <w:iCs w:val="false"/>
          <w:color w:val="000000"/>
          <w:sz w:val="22"/>
          <w:szCs w:val="22"/>
        </w:rPr>
        <w:t xml:space="preserve">The Alibaba HPN (High-Performance Network) paper [SRS ref 26] describes the production network architecture built specifically for LLM training at scale. Its key rack-level feature is the dual-ToR design: each server rack has </w:t>
      </w:r>
      <w:r>
        <w:rPr>
          <w:rFonts w:ascii="Arial" w:cs="Arial" w:eastAsia="Arial" w:hAnsi="Arial"/>
          <w:b/>
          <w:bCs/>
          <w:i w:val="false"/>
          <w:iCs w:val="false"/>
          <w:color w:val="000000"/>
          <w:sz w:val="22"/>
          <w:szCs w:val="22"/>
        </w:rPr>
        <w:t xml:space="preserve">two independent Top-of-Rack (ToR) switches</w:t>
      </w:r>
      <w:r>
        <w:rPr>
          <w:rFonts w:ascii="Arial" w:cs="Arial" w:eastAsia="Arial" w:hAnsi="Arial"/>
          <w:b w:val="false"/>
          <w:bCs w:val="false"/>
          <w:i w:val="false"/>
          <w:iCs w:val="false"/>
          <w:color w:val="000000"/>
          <w:sz w:val="22"/>
          <w:szCs w:val="22"/>
        </w:rPr>
        <w:t xml:space="preserve">, with every server connected to both. This gives each server two distinct uplink paths — so if one ToR fails or becomes congested, traffic reroutes through the second without the server going dark.</w:t>
      </w:r>
    </w:p>
    <w:p>
      <w:pPr>
        <w:spacing w:after="120" w:before="80"/>
        <w:jc w:val="left"/>
      </w:pPr>
      <w:r>
        <w:rPr>
          <w:rFonts w:ascii="Arial" w:cs="Arial" w:eastAsia="Arial" w:hAnsi="Arial"/>
          <w:b w:val="false"/>
          <w:bCs w:val="false"/>
          <w:i w:val="false"/>
          <w:iCs w:val="false"/>
          <w:color w:val="000000"/>
          <w:sz w:val="22"/>
          <w:szCs w:val="22"/>
        </w:rPr>
        <w:t xml:space="preserve">FR-G1 asks us to model a topology </w:t>
      </w:r>
      <w:r>
        <w:rPr>
          <w:rFonts w:ascii="Arial" w:cs="Arial" w:eastAsia="Arial" w:hAnsi="Arial"/>
          <w:b w:val="false"/>
          <w:bCs w:val="false"/>
          <w:i/>
          <w:iCs/>
          <w:color w:val="000000"/>
          <w:sz w:val="22"/>
          <w:szCs w:val="22"/>
        </w:rPr>
        <w:t xml:space="preserve">“capable of replicating massive LLM traffic, inspired by Alibaba’s HPN dual-ToR design, to assess path search complexity and fault redundancy.”</w:t>
      </w:r>
      <w:r>
        <w:rPr>
          <w:rFonts w:ascii="Arial" w:cs="Arial" w:eastAsia="Arial" w:hAnsi="Arial"/>
          <w:b w:val="false"/>
          <w:bCs w:val="false"/>
          <w:i w:val="false"/>
          <w:iCs w:val="false"/>
          <w:color w:val="000000"/>
          <w:sz w:val="22"/>
          <w:szCs w:val="22"/>
        </w:rPr>
        <w:t xml:space="preserve"> The two goals map directly to dual-ToR’s two properties: more equal-cost paths (complexity) and rack-level resilience (redundancy).</w:t>
      </w:r>
    </w:p>
    <w:p>
      <w:pPr>
        <w:pStyle w:val="Heading2"/>
        <w:spacing w:after="100" w:before="240"/>
      </w:pPr>
      <w:r>
        <w:rPr>
          <w:rFonts w:ascii="Arial" w:cs="Arial" w:eastAsia="Arial" w:hAnsi="Arial"/>
          <w:b/>
          <w:bCs/>
          <w:i w:val="false"/>
          <w:iCs w:val="false"/>
          <w:color w:val="2E75B6"/>
          <w:sz w:val="26"/>
          <w:szCs w:val="26"/>
        </w:rPr>
        <w:t xml:space="preserve">6.2 Key design points from the HPN paper</w:t>
      </w:r>
    </w:p>
    <w:p>
      <w:pPr>
        <w:spacing w:after="60" w:before="80"/>
        <w:jc w:val="left"/>
      </w:pPr>
      <w:r>
        <w:rPr>
          <w:rFonts w:ascii="Arial" w:cs="Arial" w:eastAsia="Arial" w:hAnsi="Arial"/>
          <w:b w:val="false"/>
          <w:bCs w:val="false"/>
          <w:i w:val="false"/>
          <w:iCs w:val="false"/>
          <w:color w:val="000000"/>
          <w:sz w:val="22"/>
          <w:szCs w:val="22"/>
        </w:rPr>
        <w:t xml:space="preserve">The principles the Sprint 6 emulation should preserve:</w:t>
      </w:r>
    </w:p>
    <w:p>
      <w:pPr>
        <w:spacing w:after="40" w:before="40"/>
        <w:ind w:left="400"/>
        <w:jc w:val="left"/>
      </w:pPr>
      <w:r>
        <w:rPr>
          <w:rFonts w:ascii="Arial" w:cs="Arial" w:eastAsia="Arial" w:hAnsi="Arial"/>
          <w:b w:val="false"/>
          <w:bCs w:val="false"/>
          <w:i w:val="false"/>
          <w:iCs w:val="false"/>
          <w:color w:val="000000"/>
          <w:sz w:val="22"/>
          <w:szCs w:val="22"/>
        </w:rPr>
        <w:t xml:space="preserve">Each server has two uplinks — one to each independent ToR in its rack. The two ToRs are not connected to each other; independence is the point.</w:t>
      </w:r>
    </w:p>
    <w:p>
      <w:pPr>
        <w:spacing w:after="40" w:before="40"/>
        <w:ind w:left="400"/>
        <w:jc w:val="left"/>
      </w:pPr>
      <w:r>
        <w:rPr>
          <w:rFonts w:ascii="Arial" w:cs="Arial" w:eastAsia="Arial" w:hAnsi="Arial"/>
          <w:b w:val="false"/>
          <w:bCs w:val="false"/>
          <w:i w:val="false"/>
          <w:iCs w:val="false"/>
          <w:color w:val="000000"/>
          <w:sz w:val="22"/>
          <w:szCs w:val="22"/>
        </w:rPr>
        <w:t xml:space="preserve">Inter-rack traffic travels via spine switches above the ToR layer. Full fabric hierarchy: server ↔ ToR (intra-rack), ToR ↔ spine (inter-rack).</w:t>
      </w:r>
    </w:p>
    <w:p>
      <w:pPr>
        <w:spacing w:after="40" w:before="40"/>
        <w:ind w:left="400"/>
        <w:jc w:val="left"/>
      </w:pPr>
      <w:r>
        <w:rPr>
          <w:rFonts w:ascii="Arial" w:cs="Arial" w:eastAsia="Arial" w:hAnsi="Arial"/>
          <w:b w:val="false"/>
          <w:bCs w:val="false"/>
          <w:i w:val="false"/>
          <w:iCs w:val="false"/>
          <w:color w:val="000000"/>
          <w:sz w:val="22"/>
          <w:szCs w:val="22"/>
        </w:rPr>
        <w:t xml:space="preserve">The topology is engineered around AllReduce traffic — high bisection bandwidth at the spine to absorb synchronised gradient bursts without congestion at the core.</w:t>
      </w:r>
    </w:p>
    <w:p>
      <w:pPr>
        <w:spacing w:after="120" w:before="40"/>
        <w:ind w:left="400"/>
        <w:jc w:val="left"/>
      </w:pPr>
      <w:r>
        <w:rPr>
          <w:rFonts w:ascii="Arial" w:cs="Arial" w:eastAsia="Arial" w:hAnsi="Arial"/>
          <w:b w:val="false"/>
          <w:bCs w:val="false"/>
          <w:i w:val="false"/>
          <w:iCs w:val="false"/>
          <w:color w:val="000000"/>
          <w:sz w:val="22"/>
          <w:szCs w:val="22"/>
        </w:rPr>
        <w:t xml:space="preserve">Fault redundancy boundary: a single ToR failure removes one uplink path but leaves the server reachable via the second. A dual-ToR failure isolates the rack — the worst-case failure mode above the NPU level.</w:t>
      </w:r>
    </w:p>
    <w:p>
      <w:pPr>
        <w:pStyle w:val="Heading2"/>
        <w:spacing w:after="100" w:before="240"/>
      </w:pPr>
      <w:r>
        <w:rPr>
          <w:rFonts w:ascii="Arial" w:cs="Arial" w:eastAsia="Arial" w:hAnsi="Arial"/>
          <w:b/>
          <w:bCs/>
          <w:i w:val="false"/>
          <w:iCs w:val="false"/>
          <w:color w:val="2E75B6"/>
          <w:sz w:val="26"/>
          <w:szCs w:val="26"/>
        </w:rPr>
        <w:t xml:space="preserve">6.3 Sprint 6 scoping questions</w:t>
      </w:r>
    </w:p>
    <w:p>
      <w:pPr>
        <w:spacing w:after="100" w:before="80"/>
        <w:jc w:val="left"/>
      </w:pPr>
      <w:r>
        <w:rPr>
          <w:rFonts w:ascii="Arial" w:cs="Arial" w:eastAsia="Arial" w:hAnsi="Arial"/>
          <w:b w:val="false"/>
          <w:bCs w:val="false"/>
          <w:i w:val="false"/>
          <w:iCs w:val="false"/>
          <w:color w:val="000000"/>
          <w:sz w:val="22"/>
          <w:szCs w:val="22"/>
        </w:rPr>
        <w:t xml:space="preserve">Questions the Sprint 6 FR-G1 workstream must answer before topology authoring begins — ordered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Scoping question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Design input for Sprint 6</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Priority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Minimum viable dual-ToR topology in ASTRA-sim</w:t>
            </w:r>
          </w:p>
        </w:tc>
        <w:tc>
          <w:tcPr>
            <w:tcW w:type="dxa" w:w="41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Two ToR switches per pod; each server connected to both ToRs via independent uplinks.</w:t>
            </w:r>
          </w:p>
          <w:p>
            <w:pPr>
              <w:spacing w:after="30" w:before="30"/>
              <w:jc w:val="left"/>
            </w:pPr>
            <w:r>
              <w:rPr>
                <w:rFonts w:ascii="Arial" w:cs="Arial" w:eastAsia="Arial" w:hAnsi="Arial"/>
                <w:b w:val="false"/>
                <w:bCs w:val="false"/>
                <w:i w:val="false"/>
                <w:iCs w:val="false"/>
                <w:color w:val="000000"/>
                <w:sz w:val="19"/>
                <w:szCs w:val="19"/>
              </w:rPr>
              <w:t xml:space="preserve">Minimum scale: 2 pods x 4 servers x 2 NPUs — extensible from the current 4-NPU baseline.</w:t>
            </w:r>
          </w:p>
          <w:p>
            <w:pPr>
              <w:spacing w:after="30" w:before="30"/>
              <w:jc w:val="left"/>
            </w:pPr>
            <w:r>
              <w:rPr>
                <w:rFonts w:ascii="Arial" w:cs="Arial" w:eastAsia="Arial" w:hAnsi="Arial"/>
                <w:b w:val="false"/>
                <w:bCs w:val="false"/>
                <w:i w:val="false"/>
                <w:iCs w:val="false"/>
                <w:color w:val="000000"/>
                <w:sz w:val="19"/>
                <w:szCs w:val="19"/>
              </w:rPr>
              <w:t xml:space="preserve">Topology descriptor file must be authored or extended; Tae advises.</w:t>
            </w:r>
          </w:p>
        </w:tc>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High — blocks FR-G1 emulation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ToR-level vs link-level failure injection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ASTRA-sim operates at NPU / link level, not switch level.</w:t>
            </w:r>
          </w:p>
          <w:p>
            <w:pPr>
              <w:spacing w:after="30" w:before="30"/>
              <w:jc w:val="left"/>
            </w:pPr>
            <w:r>
              <w:rPr>
                <w:rFonts w:ascii="Arial" w:cs="Arial" w:eastAsia="Arial" w:hAnsi="Arial"/>
                <w:b w:val="false"/>
                <w:bCs w:val="false"/>
                <w:i w:val="false"/>
                <w:iCs w:val="false"/>
                <w:color w:val="000000"/>
                <w:sz w:val="19"/>
                <w:szCs w:val="19"/>
              </w:rPr>
              <w:t xml:space="preserve">Model a ToR failure as simultaneous failure of all uplinks from that ToR — equivalent in effect.</w:t>
            </w:r>
          </w:p>
          <w:p>
            <w:pPr>
              <w:spacing w:after="30" w:before="30"/>
              <w:jc w:val="left"/>
            </w:pPr>
            <w:r>
              <w:rPr>
                <w:rFonts w:ascii="Arial" w:cs="Arial" w:eastAsia="Arial" w:hAnsi="Arial"/>
                <w:b w:val="false"/>
                <w:bCs w:val="false"/>
                <w:i w:val="false"/>
                <w:iCs w:val="false"/>
                <w:color w:val="000000"/>
                <w:sz w:val="19"/>
                <w:szCs w:val="19"/>
              </w:rPr>
              <w:t xml:space="preserve">Confirm mapping with Tae before Sprint 6 injection scripting begins.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High — defines failure injection scope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Interaction with Ring AllReduce ring membership</w:t>
            </w:r>
          </w:p>
        </w:tc>
        <w:tc>
          <w:tcPr>
            <w:tcW w:type="dxa" w:w="41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Dual-ToR adds path diversity at rack level; Ring membership is defined at NPU level and is unchanged.</w:t>
            </w:r>
          </w:p>
          <w:p>
            <w:pPr>
              <w:spacing w:after="30" w:before="30"/>
              <w:jc w:val="left"/>
            </w:pPr>
            <w:r>
              <w:rPr>
                <w:rFonts w:ascii="Arial" w:cs="Arial" w:eastAsia="Arial" w:hAnsi="Arial"/>
                <w:b w:val="false"/>
                <w:bCs w:val="false"/>
                <w:i w:val="false"/>
                <w:iCs w:val="false"/>
                <w:color w:val="000000"/>
                <w:sz w:val="19"/>
                <w:szCs w:val="19"/>
              </w:rPr>
              <w:t xml:space="preserve">A ToR failure maps to NPU isolation — ring reforms over N-k NPUs, consistent with TC-03 precedent.</w:t>
            </w:r>
          </w:p>
          <w:p>
            <w:pPr>
              <w:spacing w:after="30" w:before="30"/>
              <w:jc w:val="left"/>
            </w:pPr>
            <w:r>
              <w:rPr>
                <w:rFonts w:ascii="Arial" w:cs="Arial" w:eastAsia="Arial" w:hAnsi="Arial"/>
                <w:b w:val="false"/>
                <w:bCs w:val="false"/>
                <w:i w:val="false"/>
                <w:iCs w:val="false"/>
                <w:color w:val="000000"/>
                <w:sz w:val="19"/>
                <w:szCs w:val="19"/>
              </w:rPr>
              <w:t xml:space="preserve">No new ring mechanics required; FR-G1 extends TC-03 upward, not sideways.</w:t>
            </w:r>
          </w:p>
        </w:tc>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High — confirms Ring / topology coupling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Path search complexity baseline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FR-G1 explicitly targets path search complexity.</w:t>
            </w:r>
          </w:p>
          <w:p>
            <w:pPr>
              <w:spacing w:after="30" w:before="30"/>
              <w:jc w:val="left"/>
            </w:pPr>
            <w:r>
              <w:rPr>
                <w:rFonts w:ascii="Arial" w:cs="Arial" w:eastAsia="Arial" w:hAnsi="Arial"/>
                <w:b w:val="false"/>
                <w:bCs w:val="false"/>
                <w:i w:val="false"/>
                <w:iCs w:val="false"/>
                <w:color w:val="000000"/>
                <w:sz w:val="19"/>
                <w:szCs w:val="19"/>
              </w:rPr>
              <w:t xml:space="preserve">Document number of equal-cost paths in single-ToR vs dual-ToR for a given inter-pod route — this is the FR-G1 metric.</w:t>
            </w:r>
          </w:p>
          <w:p>
            <w:pPr>
              <w:spacing w:after="30" w:before="30"/>
              <w:jc w:val="left"/>
            </w:pPr>
            <w:r>
              <w:rPr>
                <w:rFonts w:ascii="Arial" w:cs="Arial" w:eastAsia="Arial" w:hAnsi="Arial"/>
                <w:b w:val="false"/>
                <w:bCs w:val="false"/>
                <w:i w:val="false"/>
                <w:iCs w:val="false"/>
                <w:color w:val="000000"/>
                <w:sz w:val="19"/>
                <w:szCs w:val="19"/>
              </w:rPr>
              <w:t xml:space="preserve">Dual-ToR doubles rack-level path diversity; quantify before and after.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Medium — report metric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19"/>
                <w:szCs w:val="19"/>
              </w:rPr>
              <w:t xml:space="preserve">Simulation scale and NFR-P2 compliance</w:t>
            </w:r>
          </w:p>
        </w:tc>
        <w:tc>
          <w:tcPr>
            <w:tcW w:type="dxa" w:w="41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Target: 8-NPU dual-ToR extension (two pods of 4, dual-ToR per pod).</w:t>
            </w:r>
          </w:p>
          <w:p>
            <w:pPr>
              <w:spacing w:after="30" w:before="30"/>
              <w:jc w:val="left"/>
            </w:pPr>
            <w:r>
              <w:rPr>
                <w:rFonts w:ascii="Arial" w:cs="Arial" w:eastAsia="Arial" w:hAnsi="Arial"/>
                <w:b w:val="false"/>
                <w:bCs w:val="false"/>
                <w:i w:val="false"/>
                <w:iCs w:val="false"/>
                <w:color w:val="000000"/>
                <w:sz w:val="19"/>
                <w:szCs w:val="19"/>
              </w:rPr>
              <w:t xml:space="preserve">Must satisfy NFR-P2: under 4 hours per run. Confirm with Tae before topology authoring begins.</w:t>
            </w:r>
          </w:p>
          <w:p>
            <w:pPr>
              <w:spacing w:after="30" w:before="30"/>
              <w:jc w:val="left"/>
            </w:pPr>
            <w:r>
              <w:rPr>
                <w:rFonts w:ascii="Arial" w:cs="Arial" w:eastAsia="Arial" w:hAnsi="Arial"/>
                <w:b w:val="false"/>
                <w:bCs w:val="false"/>
                <w:i w:val="false"/>
                <w:iCs w:val="false"/>
                <w:color w:val="000000"/>
                <w:sz w:val="19"/>
                <w:szCs w:val="19"/>
              </w:rPr>
              <w:t xml:space="preserve">If scale proves prohibitive, reduce to minimal 2-pod, single-server-per-ToR configuration.</w:t>
            </w:r>
          </w:p>
        </w:tc>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9"/>
                <w:szCs w:val="19"/>
              </w:rPr>
              <w:t xml:space="preserve">Medium — scope gate</w:t>
            </w:r>
          </w:p>
        </w:tc>
      </w:tr>
    </w:tbl>
    <w:p>
      <w:pPr>
        <w:spacing w:after="120" w:before="120"/>
      </w:pPr>
    </w:p>
    <w:p>
      <w:pPr>
        <w:pStyle w:val="Heading2"/>
        <w:spacing w:after="100" w:before="240"/>
      </w:pPr>
      <w:r>
        <w:rPr>
          <w:rFonts w:ascii="Arial" w:cs="Arial" w:eastAsia="Arial" w:hAnsi="Arial"/>
          <w:b/>
          <w:bCs/>
          <w:i w:val="false"/>
          <w:iCs w:val="false"/>
          <w:color w:val="2E75B6"/>
          <w:sz w:val="26"/>
          <w:szCs w:val="26"/>
        </w:rPr>
        <w:t xml:space="preserve">6.4 Relationship to the existing instrument</w:t>
      </w:r>
    </w:p>
    <w:p>
      <w:pPr>
        <w:spacing w:after="80" w:before="80"/>
        <w:jc w:val="left"/>
      </w:pPr>
      <w:r>
        <w:rPr>
          <w:rFonts w:ascii="Arial" w:cs="Arial" w:eastAsia="Arial" w:hAnsi="Arial"/>
          <w:b w:val="false"/>
          <w:bCs w:val="false"/>
          <w:i w:val="false"/>
          <w:iCs w:val="false"/>
          <w:color w:val="000000"/>
          <w:sz w:val="22"/>
          <w:szCs w:val="22"/>
        </w:rPr>
        <w:t xml:space="preserve">The dual-ToR emulation builds on the current setup rather than replacing it. The existing 4-NPU topology is a single-ToR rack equivalent — a useful baseline from which path search complexity can be measured before and after adding the second ToR. Ring AllReduce ring membership is defined at NPU level and is not disrupted by ToR structure; a ToR failure maps to NPU isolation, consistent with the TC-03 precedent the team already has.</w:t>
      </w:r>
    </w:p>
    <w:p>
      <w:pPr>
        <w:spacing w:after="160" w:before="80"/>
        <w:jc w:val="left"/>
      </w:pPr>
      <w:r>
        <w:rPr>
          <w:rFonts w:ascii="Arial" w:cs="Arial" w:eastAsia="Arial" w:hAnsi="Arial"/>
          <w:b w:val="false"/>
          <w:bCs w:val="false"/>
          <w:i w:val="false"/>
          <w:iCs w:val="false"/>
          <w:color w:val="000000"/>
          <w:sz w:val="22"/>
          <w:szCs w:val="22"/>
        </w:rPr>
        <w:t xml:space="preserve">FR-G1 therefore extends TC-03’s failure injection upward to the rack level rather than replacing it. The three concrete Sprint 6 actions are: author the dual-ToR topology descriptor, extend the failure injection scripting to ToR-level, and measure the path-complexity baseline before and after.</w:t>
      </w:r>
    </w:p>
    <w:p>
      <w:pPr>
        <w:pBdr>
          <w:bottom w:val="single" w:color="2E75B6" w:sz="4" w:space="1"/>
        </w:pBdr>
        <w:spacing w:after="100" w:before="100"/>
      </w:pPr>
    </w:p>
    <w:p>
      <w:pPr>
        <w:spacing w:after="80" w:before="80"/>
      </w:pPr>
    </w:p>
    <w:p>
      <w:pPr>
        <w:spacing w:after="80" w:before="80"/>
        <w:jc w:val="left"/>
      </w:pPr>
      <w:r>
        <w:rPr>
          <w:rFonts w:ascii="Arial" w:cs="Arial" w:eastAsia="Arial" w:hAnsi="Arial"/>
          <w:b w:val="false"/>
          <w:bCs w:val="false"/>
          <w:i/>
          <w:iCs/>
          <w:color w:val="595959"/>
          <w:sz w:val="19"/>
          <w:szCs w:val="19"/>
        </w:rPr>
        <w:t xml:space="preserve">Prepared by Bradley Quinlan — Coordination &amp; Integration Lead — Sprint 5 Lane D deliverable. Anchored to SRS functional requirements FR-G1, FR-P1, FR-P2, FR-G2, FR-G3, NFR-P1, NFR-P2 and the Sprint 4 TC-03 baseline (3.0% JCT recovery penalty).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2026-06-15T07:49:08.725Z</dcterms:created>
  <dcterms:modified xsi:type="dcterms:W3CDTF">2026-06-15T07:49:08.725Z</dcterms:modified>
</cp:coreProperties>
</file>

<file path=docProps/custom.xml><?xml version="1.0" encoding="utf-8"?>
<Properties xmlns="http://schemas.openxmlformats.org/officeDocument/2006/custom-properties" xmlns:vt="http://schemas.openxmlformats.org/officeDocument/2006/docPropsVTypes"/>
</file>