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2"/>
          <w:szCs w:val="22"/>
        </w:rPr>
        <w:t xml:space="preserve">CE903 Group Project 3 — Managing Network for LLM Training</w:t>
      </w:r>
    </w:p>
    <w:p>
      <w:pPr>
        <w:spacing w:after="40"/>
      </w:pPr>
      <w:r>
        <w:rPr>
          <w:b/>
          <w:bCs/>
          <w:sz w:val="36"/>
          <w:szCs w:val="36"/>
        </w:rPr>
        <w:t xml:space="preserve">Sprint 5 Guide — Predictive Modelling: Wide Exploration</w:t>
      </w:r>
    </w:p>
    <w:p>
      <w:pPr>
        <w:spacing w:after="40"/>
      </w:pPr>
      <w:r>
        <w:rPr>
          <w:i/>
          <w:iCs/>
          <w:sz w:val="20"/>
          <w:szCs w:val="20"/>
        </w:rPr>
        <w:t xml:space="preserve">Coordination &amp; integration: Bradley Quinlan   |   Supervisor: Muge Sayit</w:t>
      </w:r>
    </w:p>
    <w:p>
      <w:pPr>
        <w:spacing w:after="120"/>
      </w:pPr>
      <w:r>
        <w:rPr>
          <w:sz w:val="20"/>
          <w:szCs w:val="20"/>
        </w:rPr>
        <w:t xml:space="preserve">Sprint window: one week  |  Sprints remaining to 3 July submission: ~3.5 (this sprint included)</w:t>
      </w:r>
    </w:p>
    <w:p>
      <w:pPr>
        <w:pBdr>
          <w:bottom w:val="single" w:color="2E75B6" w:sz="6" w:space="1"/>
        </w:pBdr>
        <w:spacing w:after="180" w:before="60"/>
      </w:pPr>
      <w:r>
        <w:t xml:space="preserve"/>
      </w:r>
    </w:p>
    <w:p>
      <w:pPr>
        <w:pStyle w:val="Heading1"/>
      </w:pPr>
      <w:r>
        <w:t xml:space="preserve">1. Where we stand coming into Sprint 5</w:t>
      </w:r>
    </w:p>
    <w:p>
      <w:pPr>
        <w:spacing w:after="120" w:before="0"/>
      </w:pPr>
      <w:r>
        <w:t xml:space="preserve">Sprint 4 closed strongly, and the supervisor demo on 4 June confirmed it. We carried in three results that held up under questioning: TC-01, TC-02 and TC-03 all passed, and we delivered a </w:t>
      </w:r>
      <w:r>
        <w:rPr>
          <w:b/>
          <w:bCs/>
        </w:rPr>
        <w:t xml:space="preserve">3.0% JCT recovery penalty baseline</w:t>
      </w:r>
      <w:r>
        <w:t xml:space="preserve"> under worst-case GSP / XID 119 fault injection — the headline number the whole instrument was built to produce. The stretch C++ hook into the congestion-aware backend was wired in on top of that. In short, the instrument chain is operational and producing trustworthy results.</w:t>
      </w:r>
    </w:p>
    <w:p>
      <w:pPr>
        <w:spacing w:after="120" w:before="0"/>
      </w:pPr>
      <w:r>
        <w:t xml:space="preserve">Muge's reaction matters for how we scope this sprint. She was pleased her analytic-collective methodology worked, pleased with our pace, and — without prompting — steered us toward the ML predictive work as the natural next step, the same direction the SRS already points at. She framed this as a path toward publishable work and indicated it would reasonably take </w:t>
      </w:r>
      <w:r>
        <w:rPr>
          <w:b/>
          <w:bCs/>
        </w:rPr>
        <w:t xml:space="preserve">two sprints</w:t>
      </w:r>
      <w:r>
        <w:t xml:space="preserve"> to integrate. That is our mandate.</w:t>
      </w:r>
    </w:p>
    <w:p>
      <w:pPr>
        <w:spacing w:after="120" w:before="0"/>
      </w:pPr>
      <w:r>
        <w:t xml:space="preserve">The strategic framing we have used with Muge still holds, and it carries directly into this sprint: </w:t>
      </w:r>
      <w:r>
        <w:rPr>
          <w:b/>
          <w:bCs/>
        </w:rPr>
        <w:t xml:space="preserve">in Sprint 4 we built the ruler; from Sprint 5 onward we use it.</w:t>
      </w:r>
      <w:r>
        <w:t xml:space="preserve"> Every exploration lane below reports its results measured against that same ruler — the TC-03 failure pattern, the same trace, the same metrics — so that the work is commensurable and the eventual model-selection decision is evidence-based rather than a matter of taste.</w:t>
      </w:r>
    </w:p>
    <w:p>
      <w:pPr>
        <w:pStyle w:val="Heading1"/>
      </w:pPr>
      <w:r>
        <w:t xml:space="preserve">2. The shape of Sprint 5 (and how it sets up Sprint 6)</w:t>
      </w:r>
    </w:p>
    <w:p>
      <w:pPr>
        <w:spacing w:after="120" w:before="0"/>
      </w:pPr>
      <w:r>
        <w:t xml:space="preserve">This is a </w:t>
      </w:r>
      <w:r>
        <w:rPr>
          <w:b/>
          <w:bCs/>
        </w:rPr>
        <w:t xml:space="preserve">parallel exploration sprint</w:t>
      </w:r>
      <w:r>
        <w:t xml:space="preserve">, not an integration sprint. The reasoning is deliberate: the irreversible commitment — which predictive model, which integration path — should be deferred until we have evidence in hand. We go wide first, then integrate.</w:t>
      </w:r>
    </w:p>
    <w:p>
      <w:pPr>
        <w:spacing w:after="120" w:before="0"/>
      </w:pPr>
      <w:r>
        <w:t xml:space="preserve">A second, equally deliberate point: the SRS doesn't ask us to pick a single predictive approach. It asks us to attack two genuinely different targets. </w:t>
      </w:r>
      <w:r>
        <w:rPr>
          <w:b/>
          <w:bCs/>
        </w:rPr>
        <w:t xml:space="preserve">Predicting when a GPU fails</w:t>
      </w:r>
      <w:r>
        <w:t xml:space="preserve"> (telemetry, feeding FR-G2/G3 and NFR-P1) is a different problem from </w:t>
      </w:r>
      <w:r>
        <w:rPr>
          <w:b/>
          <w:bCs/>
        </w:rPr>
        <w:t xml:space="preserve">predicting all-reduce bursts so we can route around them</w:t>
      </w:r>
      <w:r>
        <w:t xml:space="preserve"> (periodic traffic, feeding FR-P1/P2 and TC-04). Attacking both isn't over-reach — it's what traceability demands, and it's the more publishable, multi-layered reading Muge is gesturing at.</w:t>
      </w:r>
    </w:p>
    <w:p>
      <w:pPr>
        <w:spacing w:after="120" w:before="0"/>
      </w:pPr>
      <w:r>
        <w:t xml:space="preserve">So the two instincts align cleanly: </w:t>
      </w:r>
      <w:r>
        <w:rPr>
          <w:b/>
          <w:bCs/>
        </w:rPr>
        <w:t xml:space="preserve">go wide across the distinct prediction/routing targets, with people assigned by affinity to their prior work.</w:t>
      </w:r>
    </w:p>
    <w:p>
      <w:pPr>
        <w:pStyle w:val="Heading2"/>
      </w:pPr>
      <w:r>
        <w:t xml:space="preserve">2.1 Traceability note: where TC-04 now sits</w:t>
      </w:r>
    </w:p>
    <w:p>
      <w:pPr>
        <w:spacing w:after="120" w:before="0"/>
      </w:pPr>
      <w:r>
        <w:t xml:space="preserve">In the SRS, TC-04 (predictive scheduler beats ECMP under the TC-03 failure pattern) is the Sprint 5 acceptance test. With Sprint 5 now scoped as exploration, </w:t>
      </w:r>
      <w:r>
        <w:rPr>
          <w:b/>
          <w:bCs/>
        </w:rPr>
        <w:t xml:space="preserve">TC-04 slides to Sprint 6 as the integration acceptance gate.</w:t>
      </w:r>
      <w:r>
        <w:t xml:space="preserve"> We record this shift explicitly rather than letting it move silently — traceability is a known failure mode for this phase, and the assessment rubric rewards visible, well-reasoned Agile re-planning over a rigid schedule.</w:t>
      </w:r>
    </w:p>
    <w:p>
      <w:pPr>
        <w:pStyle w:val="Heading2"/>
      </w:pPr>
      <w:r>
        <w:t xml:space="preserve">2.2 The runway to 3 July</w:t>
      </w:r>
    </w:p>
    <w:p>
      <w:pPr>
        <w:spacing w:after="120" w:before="0"/>
      </w:pPr>
      <w:r>
        <w:t xml:space="preserve">With roughly three and a half sprints left, the plan is comfortable rather than tight: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5 (this week):</w:t>
      </w:r>
      <w:r>
        <w:t xml:space="preserve"> wide exploration of predictive lanes; coordination lane builds the integration spine and seeds FR-G1.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6:</w:t>
      </w:r>
      <w:r>
        <w:t xml:space="preserve"> select the approach(es) on the evidence, integrate, and run TC-04; Pod members begin the Alibaba dual-ToR (FR-G1) emulation in earnest.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7 + remaining half:</w:t>
      </w:r>
      <w:r>
        <w:t xml:space="preserve"> consolidation and regression (TC-01 through TC-04 holding on the final codebase, per the SRS Sprint 6-and-beyond plan), plus final report completion for 3 July.</w:t>
      </w:r>
    </w:p>
    <w:p>
      <w:pPr>
        <w:spacing w:after="120" w:before="0"/>
      </w:pPr>
      <w:r>
        <w:t xml:space="preserve">This is why the acceptance philosophy below is protective: </w:t>
      </w:r>
      <w:r>
        <w:rPr>
          <w:b/>
          <w:bCs/>
        </w:rPr>
        <w:t xml:space="preserve">every lane must produce a documented, defensible result, but no lane is required to fully ship this week.</w:t>
      </w:r>
      <w:r>
        <w:t xml:space="preserve"> The report can score on thoroughly-explored-and-evidenced work; the rubric rewards Agile progress and traceability, not only a finished artefact. Bonus time goes to familiarisation, not to propping up another pod — we hold the anti-crunch line.</w:t>
      </w:r>
    </w:p>
    <w:p>
      <w:pPr>
        <w:pStyle w:val="Heading1"/>
      </w:pPr>
      <w:r>
        <w:t xml:space="preserve">3. Exploration lanes at a glance</w:t>
      </w:r>
    </w:p>
    <w:p>
      <w:pPr>
        <w:spacing w:after="120" w:before="0"/>
      </w:pPr>
      <w:r>
        <w:t xml:space="preserve">Assignments follow prior-work affinity wherever possible. Tae stays on the instrument and advises across lanes rather than taking a heavy exploration lane, given the known dual-pod fragility; Roshan remains the natural simulator backup.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60"/>
        <w:gridCol w:w="21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Prediction 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SRS traceability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— Congestion / routing prediction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Kyle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Upcoming all-reduce bursts → route around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FR-P1, FR-P2, FR-N2 → TC-04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— Failure prediction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Navami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When/where a GPU fails → pre-empt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FR-G2, FR-G3, NFR-P1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 — Time-shift scheduler scoping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Roshan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CASSINI-style interleaving of comm phases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FR-P2 → TC-04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 — Coordination: integration spine + FR-G1 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Brad (incl. Ashraf's NCCL-characterisation scope)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Keeping all lanes commensurable; dual-ToR groundwork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FR-P*/G1; NFR-P2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Instrument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ASTRA-sim live; advise across lanes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Cross-cutting</w:t>
            </w:r>
          </w:p>
        </w:tc>
      </w:tr>
    </w:tbl>
    <w:p>
      <w:pPr>
        <w:spacing w:after="120" w:before="120"/>
      </w:pPr>
      <w:r>
        <w:t xml:space="preserve">A note on coverage, handled generically: one Pod B workstream (the NCCL / collective-communication characterisation) runs from my coordination lane this sprint. The conceptual brief is already in hand from last week, so this is light — a scoping decision for this sprint only, framed as such.</w:t>
      </w:r>
    </w:p>
    <w:p>
      <w:pPr>
        <w:pStyle w:val="Heading1"/>
      </w:pPr>
      <w:r>
        <w:t xml:space="preserve">4. Lane briefs</w:t>
      </w:r>
    </w:p>
    <w:p>
      <w:pPr>
        <w:spacing w:after="120" w:before="0"/>
      </w:pPr>
      <w:r>
        <w:t xml:space="preserve">Each lane below breaks the work down to the level of this week's concrete actions and a defined output. Where an output cannot be fully run inside the week, the acceptance target is written as </w:t>
      </w:r>
      <w:r>
        <w:rPr>
          <w:b/>
          <w:bCs/>
        </w:rPr>
        <w:t xml:space="preserve">defined-but-not-yet-run</w:t>
      </w:r>
      <w:r>
        <w:t xml:space="preserve"> so Sprint 6 inherits a clear gate rather than a vague intention.</w:t>
      </w:r>
    </w:p>
    <w:p>
      <w:pPr>
        <w:pStyle w:val="Heading3"/>
      </w:pPr>
      <w:r>
        <w:t xml:space="preserve">Lane A — Congestion / routing prediction (Kyle)</w:t>
      </w:r>
    </w:p>
    <w:p>
      <w:pPr>
        <w:spacing w:after="80"/>
      </w:pPr>
      <w:r>
        <w:rPr>
          <w:b/>
          <w:bCs/>
        </w:rPr>
        <w:t xml:space="preserve">You own: </w:t>
      </w:r>
      <w:r>
        <w:t xml:space="preserve">Kyle (workload &amp; metrics, Pod B run-and-validate)</w:t>
      </w:r>
      <w:r>
        <w:rPr>
          <w:b/>
          <w:bCs/>
        </w:rPr>
        <w:t xml:space="preserve">   |   Maps to: </w:t>
      </w:r>
      <w:r>
        <w:t xml:space="preserve">FR-P1, FR-P2, FR-N2 → feeds TC-04 in Sprint 6</w:t>
      </w:r>
    </w:p>
    <w:p>
      <w:pPr>
        <w:spacing w:after="60"/>
      </w:pPr>
      <w:r>
        <w:rPr>
          <w:b/>
          <w:bCs/>
          <w:color w:val="2E75B6"/>
        </w:rPr>
        <w:t xml:space="preserve">What I need from you</w:t>
      </w:r>
    </w:p>
    <w:p>
      <w:pPr>
        <w:spacing w:after="120" w:before="0"/>
      </w:pPr>
      <w:r>
        <w:t xml:space="preserve">Can we predict the all-reduce bursts far enough ahead to inform a routing decision? This is the lane closest to the SRS's headline FR-P2 ambition, and the most direct line to TC-04.</w:t>
      </w:r>
    </w:p>
    <w:p>
      <w:pPr>
        <w:spacing w:after="60"/>
      </w:pPr>
      <w:r>
        <w:rPr>
          <w:b/>
          <w:bCs/>
          <w:color w:val="2E75B6"/>
        </w:rPr>
        <w:t xml:space="preserve">Why you, and how to come at it</w:t>
      </w:r>
    </w:p>
    <w:p>
      <w:pPr>
        <w:spacing w:after="120" w:before="0"/>
      </w:pPr>
      <w:r>
        <w:t xml:space="preserve">You own the metrics that feed any congestion predictor and you know the traffic shape from the run-and-validate work, so this sits squarely with you. My NCCL document from last week already gives you the conceptual half — which collectives matter, why all-reduce is the high-volume one, why the traffic is bursty and low-entropy, and that Ring AllReduce is the relevant algorithm — so you are not starting cold. What is left is the quantitative side: take the burst timing as a time series and test a lightweight predictor (LSTM or ST-GAT, per SMART Objective 3) for how far ahead the next burst can be forecast. Feasibility and signal quality this week, not a finished router.</w:t>
      </w:r>
    </w:p>
    <w:p>
      <w:pPr>
        <w:spacing w:after="60"/>
      </w:pPr>
      <w:r>
        <w:rPr>
          <w:b/>
          <w:bCs/>
          <w:color w:val="2E75B6"/>
        </w:rPr>
        <w:t xml:space="preserve">This week, concretely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Pull the existing trace output and isolate the all-reduce burst events as a clean, timestamped series.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Quantify the periodicity — how regular is the barrier interval in our GPT-2 / Ring runs, and how much does it jitter under the TC-03 failure pattern?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Prototype one predictor (the simplest LSTM that fits) and measure how many steps ahead it forecasts the next burst with usable accuracy.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Note where it breaks down — a clear negative result is as useful to the report as a positive one.</w:t>
      </w:r>
    </w:p>
    <w:p>
      <w:pPr>
        <w:spacing w:after="60" w:before="60"/>
      </w:pPr>
      <w:r>
        <w:rPr>
          <w:b/>
          <w:bCs/>
          <w:color w:val="2E75B6"/>
        </w:rPr>
        <w:t xml:space="preserve">What I'd like to land (defined, not necessarily fully run)</w:t>
      </w:r>
    </w:p>
    <w:p>
      <w:pPr>
        <w:spacing w:after="200" w:before="0"/>
      </w:pPr>
      <w:r>
        <w:t xml:space="preserve">A short feasibility note: can next-burst timing be predicted, how far ahead, at what accuracy, and what live input it would need from the instrument. The Sprint 6 target: a forecast good enough to pre-position a routing decision before the burst lands.</w:t>
      </w:r>
    </w:p>
    <w:p>
      <w:pPr>
        <w:pStyle w:val="Heading3"/>
      </w:pPr>
      <w:r>
        <w:t xml:space="preserve">Lane B — Failure prediction (Navami)</w:t>
      </w:r>
    </w:p>
    <w:p>
      <w:pPr>
        <w:spacing w:after="80"/>
      </w:pPr>
      <w:r>
        <w:rPr>
          <w:b/>
          <w:bCs/>
        </w:rPr>
        <w:t xml:space="preserve">You own: </w:t>
      </w:r>
      <w:r>
        <w:t xml:space="preserve">Navami (GPU failures &amp; resilience, Pod C)</w:t>
      </w:r>
      <w:r>
        <w:rPr>
          <w:b/>
          <w:bCs/>
        </w:rPr>
        <w:t xml:space="preserve">   |   Maps to: </w:t>
      </w:r>
      <w:r>
        <w:t xml:space="preserve">FR-G2, FR-G3, NFR-P1</w:t>
      </w:r>
    </w:p>
    <w:p>
      <w:pPr>
        <w:spacing w:after="60"/>
      </w:pPr>
      <w:r>
        <w:rPr>
          <w:b/>
          <w:bCs/>
          <w:color w:val="2E75B6"/>
        </w:rPr>
        <w:t xml:space="preserve">What I need from you</w:t>
      </w:r>
    </w:p>
    <w:p>
      <w:pPr>
        <w:spacing w:after="120" w:before="0"/>
      </w:pPr>
      <w:r>
        <w:t xml:space="preserve">Can we predict a GPU failure ahead of the stall, rather than only detecting it after? That is the difference between reacting to the 3.0% recovery penalty and pre-empting it. This is the natural continuation of your two-sprint failure work.</w:t>
      </w:r>
    </w:p>
    <w:p>
      <w:pPr>
        <w:spacing w:after="60"/>
      </w:pPr>
      <w:r>
        <w:rPr>
          <w:b/>
          <w:bCs/>
          <w:color w:val="2E75B6"/>
        </w:rPr>
        <w:t xml:space="preserve">Why you, and how to come at it</w:t>
      </w:r>
    </w:p>
    <w:p>
      <w:pPr>
        <w:spacing w:after="120" w:before="0"/>
      </w:pPr>
      <w:r>
        <w:t xml:space="preserve">The research report points to the Cascade Model-Ensemble (GBDT plus specialised classifiers over a sliding window) as the state-of-the-art, lifting failure-prediction precision from roughly 46% to 85.4% by filtering telemetry noise. The lucky thing for you is that our instrument already injects GSP / XID 119 faults on a known MTBE basis — so you have a labelled signal to learn from. Treat the run-up to each injected fault as the pre-failure signature.</w:t>
      </w:r>
    </w:p>
    <w:p>
      <w:pPr>
        <w:spacing w:after="60"/>
      </w:pPr>
      <w:r>
        <w:rPr>
          <w:b/>
          <w:bCs/>
          <w:color w:val="2E75B6"/>
        </w:rPr>
        <w:t xml:space="preserve">This week, concretely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Characterise what, if anything, moves in the window just before an injected GSP fault in our existing runs.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Scope the Cascade ensemble (or a lighter sliding-window LSTM) against that signature — which features exist in-simulation, which would need synthesising.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Estimate the achievable lead time: how many steps ahead of the XID 119 event a usable warning could fire.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Map the prediction to the recovery path — if we know a fault is coming, what does the system do differently, and which FR-G3 propagation step does that intercept?</w:t>
      </w:r>
    </w:p>
    <w:p>
      <w:pPr>
        <w:spacing w:after="60" w:before="60"/>
      </w:pPr>
      <w:r>
        <w:rPr>
          <w:b/>
          <w:bCs/>
          <w:color w:val="2E75B6"/>
        </w:rPr>
        <w:t xml:space="preserve">What I'd like to land (defined, not necessarily fully run)</w:t>
      </w:r>
    </w:p>
    <w:p>
      <w:pPr>
        <w:spacing w:after="200" w:before="0"/>
      </w:pPr>
      <w:r>
        <w:t xml:space="preserve">A scoping note on failure predictability in our setup: available features, candidate model, estimated lead time, link to the recovery penalty. The Sprint 6 target: a predictor that fires early enough to measurably pull the recovery penalty below the 3.0% baseline.</w:t>
      </w:r>
    </w:p>
    <w:p>
      <w:pPr>
        <w:pStyle w:val="Heading3"/>
      </w:pPr>
      <w:r>
        <w:t xml:space="preserve">Lane C — Time-shift scheduler scoping (Roshan)</w:t>
      </w:r>
    </w:p>
    <w:p>
      <w:pPr>
        <w:spacing w:after="80"/>
      </w:pPr>
      <w:r>
        <w:rPr>
          <w:b/>
          <w:bCs/>
        </w:rPr>
        <w:t xml:space="preserve">You own: </w:t>
      </w:r>
      <w:r>
        <w:t xml:space="preserve">Roshan (Pod A, Chakra trace pipeline; simulator backup for Tae)</w:t>
      </w:r>
      <w:r>
        <w:rPr>
          <w:b/>
          <w:bCs/>
        </w:rPr>
        <w:t xml:space="preserve">   |   Maps to: </w:t>
      </w:r>
      <w:r>
        <w:t xml:space="preserve">FR-P2 → feeds TC-04</w:t>
      </w:r>
    </w:p>
    <w:p>
      <w:pPr>
        <w:spacing w:after="60"/>
      </w:pPr>
      <w:r>
        <w:rPr>
          <w:b/>
          <w:bCs/>
          <w:color w:val="2E75B6"/>
        </w:rPr>
        <w:t xml:space="preserve">What I need from you</w:t>
      </w:r>
    </w:p>
    <w:p>
      <w:pPr>
        <w:spacing w:after="120" w:before="0"/>
      </w:pPr>
      <w:r>
        <w:t xml:space="preserve">Scope the CASSINI-style idea: rather than predicting and rerouting, exploit the predictability of the comm phases to time-shift them so they interleave instead of colliding. It is a distinct route to FR-P2 from Kyle's lane, and worth keeping open.</w:t>
      </w:r>
    </w:p>
    <w:p>
      <w:pPr>
        <w:spacing w:after="60"/>
      </w:pPr>
      <w:r>
        <w:rPr>
          <w:b/>
          <w:bCs/>
          <w:color w:val="2E75B6"/>
        </w:rPr>
        <w:t xml:space="preserve">Why you, and how to come at it</w:t>
      </w:r>
    </w:p>
    <w:p>
      <w:pPr>
        <w:spacing w:after="120" w:before="0"/>
      </w:pPr>
      <w:r>
        <w:t xml:space="preserve">You own the Chakra pipeline, which is exactly where comm-phase timing lives, so scoping a time-shift on top of it fits your work — and it keeps your simulator-backup familiarity current. CASSINI computes a small per-job time-shift from the periodic iteration structure, with no switch or congestion-control changes, which matches our simulation constraints well. The honest question is whether it transfers to a single-workload setup.</w:t>
      </w:r>
    </w:p>
    <w:p>
      <w:pPr>
        <w:spacing w:after="60"/>
      </w:pPr>
      <w:r>
        <w:rPr>
          <w:b/>
          <w:bCs/>
          <w:color w:val="2E75B6"/>
        </w:rPr>
        <w:t xml:space="preserve">This week, concretely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Read the CASSINI approach (SRS ref [9]) closely enough to pin down the affinity-graph / time-shift mechanism in concrete terms.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Test it against our single-workload Ring setup — CASSINI targets multiple competing jobs, so be honest about whether the idea transfers as-is or needs a multi-job extension.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If it doesn't transfer cleanly this week, write down exactly what the instrument would need (e.g. a second concurrent workload) to make a time-shift meaningful. That scoping is itself the deliverable.</w:t>
      </w:r>
    </w:p>
    <w:p>
      <w:pPr>
        <w:spacing w:after="60" w:before="60"/>
      </w:pPr>
      <w:r>
        <w:rPr>
          <w:b/>
          <w:bCs/>
          <w:color w:val="2E75B6"/>
        </w:rPr>
        <w:t xml:space="preserve">What I'd like to land (defined, not necessarily fully run)</w:t>
      </w:r>
    </w:p>
    <w:p>
      <w:pPr>
        <w:spacing w:after="200" w:before="0"/>
      </w:pPr>
      <w:r>
        <w:t xml:space="preserve">A feasibility verdict: transferable now, or what would have to change first. The Sprint 6 target: a clear go/no-go on whether time-shift competes with Kyle's predictor as the FR-P2 route.</w:t>
      </w:r>
    </w:p>
    <w:p>
      <w:pPr>
        <w:pStyle w:val="Heading3"/>
      </w:pPr>
      <w:r>
        <w:t xml:space="preserve">Lane D — My coordination lane: integration spine + FR-G1 seed</w:t>
      </w:r>
    </w:p>
    <w:p>
      <w:pPr>
        <w:spacing w:after="80"/>
      </w:pPr>
      <w:r>
        <w:rPr>
          <w:b/>
          <w:bCs/>
        </w:rPr>
        <w:t xml:space="preserve">I own: </w:t>
      </w:r>
      <w:r>
        <w:t xml:space="preserve">coordination &amp; integration, plus the Pod B NCCL-characterisation scope this sprint</w:t>
      </w:r>
      <w:r>
        <w:rPr>
          <w:b/>
          <w:bCs/>
        </w:rPr>
        <w:t xml:space="preserve">   |   Maps to: </w:t>
      </w:r>
      <w:r>
        <w:t xml:space="preserve">all FR-P* lanes (commensurability); FR-G1; NFR-P2</w:t>
      </w:r>
    </w:p>
    <w:p>
      <w:pPr>
        <w:spacing w:after="60"/>
      </w:pPr>
      <w:r>
        <w:rPr>
          <w:b/>
          <w:bCs/>
          <w:color w:val="2E75B6"/>
        </w:rPr>
        <w:t xml:space="preserve">What I'm taking on</w:t>
      </w:r>
    </w:p>
    <w:p>
      <w:pPr>
        <w:spacing w:after="120" w:before="0"/>
      </w:pPr>
      <w:r>
        <w:t xml:space="preserve">Two strands, in priority order. The spine is the load-bearing one for 3 July: before the exploration reports back, I define the common schema every lane uses so the results are comparable and feed a clean Sprint 6 model-selection decision. The second strand lays warm groundwork for the FR-G1 dual-ToR work so next week's Pod members aren't starting cold.</w:t>
      </w:r>
    </w:p>
    <w:p>
      <w:pPr>
        <w:spacing w:after="60"/>
      </w:pPr>
      <w:r>
        <w:rPr>
          <w:b/>
          <w:bCs/>
          <w:color w:val="2E75B6"/>
        </w:rPr>
        <w:t xml:space="preserve">How I'm coming at it</w:t>
      </w:r>
    </w:p>
    <w:p>
      <w:pPr>
        <w:spacing w:after="120" w:before="0"/>
      </w:pPr>
      <w:r>
        <w:t xml:space="preserve">The spine extends the “built the ruler, now use it” framing — I'm building the ruler the exploration gets measured against. In practice that is a comparison schema with fixed metrics (JCT, recovery penalty, lead time / forecast accuracy), the fixed TC-03 failure pattern and the fixed trace, so Kyle, Navami and Roshan all report into the same fields. On the NCCL-characterisation scope: the conceptual brief is effectively already done — my NCCL document from last week gives Kyle what the bursts are and why they matter. So the only loose end is confirming the FP32-vs-mixed-precision assumption, which sets the message-size values. The FR-G1 strand is deliberately lighter: enough of the Alibaba HPN dual-ToR design (SRS ref [26]) for a scoping brief that seeds next week.</w:t>
      </w:r>
    </w:p>
    <w:p>
      <w:pPr>
        <w:spacing w:after="60"/>
      </w:pPr>
      <w:r>
        <w:rPr>
          <w:b/>
          <w:bCs/>
          <w:color w:val="2E75B6"/>
        </w:rPr>
        <w:t xml:space="preserve">This week, concretely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Draft the prediction-lane integration contract — a comparison schema with fixed field names, metrics, failure pattern and trace, so all lanes report commensurably. This is the Sprint 6 model-selection document, drafted in advance.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Confirm the FP32 vs mixed-precision assumption with Kyle — the one open input the NCCL characterisation still needs.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Produce a lighter FR-G1 dual-ToR scoping brief from the Alibaba HPN paper — enough to seed next week, to deepen in Sprint 6.</w:t>
      </w:r>
    </w:p>
    <w:p>
      <w:pPr>
        <w:spacing w:after="60" w:before="60"/>
      </w:pPr>
      <w:r>
        <w:rPr>
          <w:b/>
          <w:bCs/>
          <w:color w:val="2E75B6"/>
        </w:rPr>
        <w:t xml:space="preserve">What I'd like to land</w:t>
      </w:r>
    </w:p>
    <w:p>
      <w:pPr>
        <w:spacing w:after="200" w:before="0"/>
      </w:pPr>
      <w:r>
        <w:t xml:space="preserve">Primary: the integration contract (the spine). Secondary: the FR-G1 scoping brief as the appendix. The spine is what protects 3 July and holds the wide exploration together.</w:t>
      </w:r>
    </w:p>
    <w:p>
      <w:pPr>
        <w:pStyle w:val="Heading1"/>
      </w:pPr>
      <w:r>
        <w:t xml:space="preserve">5. Open items to resolve during the sprint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FP32 vs mixed precision — I'll confirm this with Kyle early; it sets the NCCL message-size values that Lane A depends on.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Time-shift transferability (Lane C) — if Roshan finds it needs a multi-job workload, that's a Sprint 6 scoping input, not a Sprint 5 blocker.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TC-04 gate wording — we'll confirm the exact Sprint 6 acceptance phrasing once the lanes report, so the integration target is unambiguous.</w:t>
      </w:r>
    </w:p>
    <w:p>
      <w:pPr>
        <w:pStyle w:val="Heading1"/>
      </w:pPr>
      <w:r>
        <w:t xml:space="preserve">6. What “done” means this sprint</w:t>
      </w:r>
    </w:p>
    <w:p>
      <w:pPr>
        <w:spacing w:after="120" w:before="0"/>
      </w:pPr>
      <w:r>
        <w:t xml:space="preserve">Done is </w:t>
      </w:r>
      <w:r>
        <w:rPr>
          <w:b/>
          <w:bCs/>
        </w:rPr>
        <w:t xml:space="preserve">four documented, defensible lane outputs</w:t>
      </w:r>
      <w:r>
        <w:t xml:space="preserve">, each written so Sprint 6 inherits a clear, defined acceptance target rather than a vague intention. No lane has to fully ship. A thoroughly-explored negative result — “this approach does not transfer to our setup, here is why” — scores in the report and saves Sprint 6 from a dead end. We are protecting the team's workload while attacking every SRS goal: wide, evidenced, and commensurable, with the integration spine holding it together.</w:t>
      </w:r>
    </w:p>
    <w:p>
      <w:pPr>
        <w:pBdr>
          <w:bottom w:val="single" w:color="2E75B6" w:sz="6" w:space="1"/>
        </w:pBdr>
        <w:spacing w:after="180" w:before="60"/>
      </w:pPr>
      <w:r>
        <w:t xml:space="preserve"/>
      </w:r>
    </w:p>
    <w:p>
      <w:pPr>
        <w:spacing w:before="80"/>
      </w:pPr>
      <w:r>
        <w:rPr>
          <w:i/>
          <w:iCs/>
          <w:color w:val="666666"/>
          <w:sz w:val="18"/>
          <w:szCs w:val="18"/>
        </w:rPr>
        <w:t xml:space="preserve">Prepared by Bradley Quinlan, coordination &amp; integration lead, for Sprint 5 planning. Anchored to the SRS requirements set (FR-M/G/P/N, NFR-P/O) and the Sprint 4 results carried into the 4 June supervisor demo.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CE903 Project 3 — Sprint 5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CE903 Sprint 5 Guide</dc:title>
  <dc:creator>Bradley Quinlan</dc:creator>
  <cp:lastModifiedBy>Un-named</cp:lastModifiedBy>
  <cp:revision>1</cp:revision>
  <dcterms:created xsi:type="dcterms:W3CDTF">2026-06-08T08:47:53.009Z</dcterms:created>
  <dcterms:modified xsi:type="dcterms:W3CDTF">2026-06-08T08:47:53.023Z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