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A1A1A"/>
          <w:sz w:val="40"/>
          <w:szCs w:val="40"/>
        </w:rPr>
        <w:t xml:space="preserve">Sprint 4 — Plan &amp; Team Briefing</w:t>
      </w:r>
    </w:p>
    <w:p>
      <w:pPr>
        <w:spacing w:after="40"/>
      </w:pPr>
      <w:r>
        <w:rPr>
          <w:rFonts w:ascii="Arial" w:cs="Arial" w:eastAsia="Arial" w:hAnsi="Arial"/>
          <w:b/>
          <w:bCs/>
          <w:color w:val="1F4E79"/>
          <w:sz w:val="24"/>
          <w:szCs w:val="24"/>
        </w:rPr>
        <w:t xml:space="preserve">CE903 Group Project 3 · Managing Network for LLM Training</w:t>
      </w:r>
    </w:p>
    <w:p>
      <w:pPr>
        <w:spacing w:after="20"/>
      </w:pPr>
      <w:r>
        <w:rPr>
          <w:rFonts w:ascii="Arial" w:cs="Arial" w:eastAsia="Arial" w:hAnsi="Arial"/>
          <w:i/>
          <w:iCs/>
          <w:color w:val="595959"/>
          <w:sz w:val="20"/>
          <w:szCs w:val="20"/>
        </w:rPr>
        <w:t xml:space="preserve">Week of 1 June 2026  ·  Scrumban one-week iteration  ·  Six-person team (five specialist lanes + coordination)</w:t>
      </w:r>
    </w:p>
    <w:p>
      <w:pPr>
        <w:spacing w:after="40"/>
      </w:pPr>
      <w:r>
        <w:rPr>
          <w:rFonts w:ascii="Arial" w:cs="Arial" w:eastAsia="Arial" w:hAnsi="Arial"/>
          <w:i/>
          <w:iCs/>
          <w:color w:val="595959"/>
          <w:sz w:val="20"/>
          <w:szCs w:val="20"/>
        </w:rPr>
        <w:t xml:space="preserve">Supervisor demo: Thursday 4 June, 13:30</w:t>
      </w:r>
    </w:p>
    <w:p>
      <w:pPr>
        <w:pBdr>
          <w:bottom w:val="single" w:color="2E75B6" w:sz="12" w:space="1"/>
        </w:pBdr>
        <w:spacing w:after="160" w:before="60"/>
      </w:pPr>
      <w:r>
        <w:rPr>
          <w:rFonts w:ascii="Arial" w:cs="Arial" w:eastAsia="Arial" w:hAnsi="Arial"/>
        </w:rPr>
        <w:t xml:space="preserve"/>
      </w:r>
    </w:p>
    <w:p>
      <w:pPr>
        <w:spacing w:after="120"/>
      </w:pPr>
      <w:r>
        <w:rPr>
          <w:rFonts w:ascii="Arial" w:cs="Arial" w:eastAsia="Arial" w:hAnsi="Arial"/>
          <w:b/>
          <w:bCs/>
        </w:rPr>
        <w:t xml:space="preserve">Where we are. </w:t>
      </w:r>
      <w:r>
        <w:rPr>
          <w:rFonts w:ascii="Arial" w:cs="Arial" w:eastAsia="Arial" w:hAnsi="Arial"/>
        </w:rPr>
        <w:t xml:space="preserve">Sprint 3 did the hard thing — it connected the pieces. TC-01 closed: a training job runs end-to-end through the trace-to-sim pipeline with metrics recorded correctly. TC-02 closed: ring all-reduce produces sensible, theory-matching curves across 4, 16 and 64 NPUs, and we surfaced a genuine finding on the way (bus bandwidth saturates at GPT-2 scale by 16 NPUs). Navami's failure spec is sitting ready, fully parametrised. Roshan's profiler-to-Chakra converter is designed and in flight. We walked into Sprint 3 with five separate artefacts and walked out with a working instrument. That is exactly where we wanted to be.</w:t>
      </w:r>
    </w:p>
    <w:p>
      <w:pPr>
        <w:spacing w:after="120"/>
      </w:pPr>
      <w:r>
        <w:rPr>
          <w:rFonts w:ascii="Arial" w:cs="Arial" w:eastAsia="Arial" w:hAnsi="Arial"/>
          <w:b/>
          <w:bCs/>
        </w:rPr>
        <w:t xml:space="preserve">What Sprint 4 is. </w:t>
      </w:r>
      <w:r>
        <w:rPr>
          <w:rFonts w:ascii="Arial" w:cs="Arial" w:eastAsia="Arial" w:hAnsi="Arial"/>
        </w:rPr>
        <w:t xml:space="preserve">If Sprint 3 built the instrument, Sprint 4 stresses it. We make the network fail — inject a GPU failure mid-training — and we prove we can see it fail: detect the NCCL stall, measure what it cost. That is TC-03, and it maps cleanly to FR-G2 (inject failures), FR-G3 (track the cascade) and FR-N2 (catch the stall). Everything this sprint does points at that one sentence.</w:t>
      </w:r>
    </w:p>
    <w:p>
      <w:pPr>
        <w:spacing w:after="120"/>
      </w:pPr>
      <w:r>
        <w:rPr>
          <w:rFonts w:ascii="Arial" w:cs="Arial" w:eastAsia="Arial" w:hAnsi="Arial"/>
          <w:b/>
          <w:bCs/>
        </w:rPr>
        <w:t xml:space="preserve">A word on pace. </w:t>
      </w:r>
      <w:r>
        <w:rPr>
          <w:rFonts w:ascii="Arial" w:cs="Arial" w:eastAsia="Arial" w:hAnsi="Arial"/>
        </w:rPr>
        <w:t xml:space="preserve">Last sprint asked a lot of everyone, and you delivered. This one is deliberately lighter. The path to Thursday is clear, and every critical objective below is scoped to be cleared without anyone burning a weekend. The genuinely impressive material lives in the stretch tier — reach for it only if you are enjoying it. A stretch that lands Sunday instead of Thursday is not a miss; it just means we start Sprint 5 already warm. No crunch. This is a course project, and I would rather we pace ourselves than grind.</w:t>
      </w:r>
    </w:p>
    <w:p>
      <w:pPr>
        <w:pStyle w:val="Heading1"/>
      </w:pPr>
      <w:r>
        <w:rPr>
          <w:rFonts w:ascii="Arial" w:cs="Arial" w:eastAsia="Arial" w:hAnsi="Arial"/>
        </w:rPr>
        <w:t xml:space="preserve">Sprint 4 at a glance</w:t>
      </w:r>
    </w:p>
    <w:p>
      <w:pPr>
        <w:spacing w:after="120"/>
      </w:pPr>
      <w:r>
        <w:rPr>
          <w:rFonts w:ascii="Arial" w:cs="Arial" w:eastAsia="Arial" w:hAnsi="Arial"/>
        </w:rPr>
        <w:t xml:space="preserve">Three lanes, each owning a piece of the TC-03 story:</w:t>
      </w:r>
    </w:p>
    <w:p>
      <w:pPr>
        <w:pStyle w:val="ListParagraph"/>
        <w:numPr>
          <w:ilvl w:val="0"/>
          <w:numId w:val="2"/>
        </w:numPr>
        <w:spacing w:after="80"/>
      </w:pPr>
      <w:r>
        <w:rPr>
          <w:rFonts w:ascii="Arial" w:cs="Arial" w:eastAsia="Arial" w:hAnsi="Arial"/>
          <w:b/>
          <w:bCs/>
        </w:rPr>
        <w:t xml:space="preserve">Pod A — The Injection. </w:t>
      </w:r>
      <w:r>
        <w:rPr>
          <w:rFonts w:ascii="Arial" w:cs="Arial" w:eastAsia="Arial" w:hAnsi="Arial"/>
        </w:rPr>
        <w:t xml:space="preserve">Turn Navami's failure spec into a fault that actually fires inside the simulation. (Navami leads · Tae)</w:t>
      </w:r>
    </w:p>
    <w:p>
      <w:pPr>
        <w:pStyle w:val="ListParagraph"/>
        <w:numPr>
          <w:ilvl w:val="0"/>
          <w:numId w:val="2"/>
        </w:numPr>
        <w:spacing w:after="80"/>
      </w:pPr>
      <w:r>
        <w:rPr>
          <w:rFonts w:ascii="Arial" w:cs="Arial" w:eastAsia="Arial" w:hAnsi="Arial"/>
          <w:b/>
          <w:bCs/>
        </w:rPr>
        <w:t xml:space="preserve">Pod B — The Observatory. </w:t>
      </w:r>
      <w:r>
        <w:rPr>
          <w:rFonts w:ascii="Arial" w:cs="Arial" w:eastAsia="Arial" w:hAnsi="Arial"/>
        </w:rPr>
        <w:t xml:space="preserve">Build the logging that catches the stall and measures the recovery penalty — before the fault is injected, so nothing gets retrofitted. (Kyle leads · Ashraf · Roshan)</w:t>
      </w:r>
    </w:p>
    <w:p>
      <w:pPr>
        <w:pStyle w:val="ListParagraph"/>
        <w:numPr>
          <w:ilvl w:val="0"/>
          <w:numId w:val="2"/>
        </w:numPr>
        <w:spacing w:after="80"/>
      </w:pPr>
      <w:r>
        <w:rPr>
          <w:rFonts w:ascii="Arial" w:cs="Arial" w:eastAsia="Arial" w:hAnsi="Arial"/>
          <w:b/>
          <w:bCs/>
        </w:rPr>
        <w:t xml:space="preserve">The Horizon. </w:t>
      </w:r>
      <w:r>
        <w:rPr>
          <w:rFonts w:ascii="Arial" w:cs="Arial" w:eastAsia="Arial" w:hAnsi="Arial"/>
        </w:rPr>
        <w:t xml:space="preserve">Hold the sprint together and scout ahead to the prediction work that becomes Sprint 5's headline. (Brad — team lead / coordination)</w:t>
      </w:r>
    </w:p>
    <w:p>
      <w:pPr>
        <w:pStyle w:val="Heading1"/>
      </w:pPr>
      <w:r>
        <w:rPr>
          <w:rFonts w:ascii="Arial" w:cs="Arial" w:eastAsia="Arial" w:hAnsi="Arial"/>
        </w:rPr>
        <w:t xml:space="preserve">Pod A — The Injection</w:t>
      </w:r>
    </w:p>
    <w:p>
      <w:pPr>
        <w:spacing w:after="100"/>
      </w:pPr>
      <w:r>
        <w:rPr>
          <w:rFonts w:ascii="Arial" w:cs="Arial" w:eastAsia="Arial" w:hAnsi="Arial"/>
          <w:i/>
          <w:iCs/>
          <w:color w:val="595959"/>
        </w:rPr>
        <w:t xml:space="preserve">Navami (R5 · GPU Failures &amp; Resilience) — pod lead   ·   Tae (R2 · Tech Lead, ASTRA-sim) — integration</w:t>
      </w:r>
    </w:p>
    <w:p>
      <w:pPr>
        <w:spacing w:after="120"/>
      </w:pPr>
      <w:r>
        <w:rPr>
          <w:rFonts w:ascii="Arial" w:cs="Arial" w:eastAsia="Arial" w:hAnsi="Arial"/>
          <w:b/>
          <w:bCs/>
        </w:rPr>
        <w:t xml:space="preserve">How it feeds the bigger picture. </w:t>
      </w:r>
      <w:r>
        <w:rPr>
          <w:rFonts w:ascii="Arial" w:cs="Arial" w:eastAsia="Arial" w:hAnsi="Arial"/>
        </w:rPr>
        <w:t xml:space="preserve">This is the half of TC-03 that creates the event. Without a fault firing inside ASTRA-sim, there is nothing for the rest of the project to detect, measure or eventually route around. Sprint 5's entire thesis — that predictive routing beats ECMP under failure — needs a failure to exist first. This pod makes it exist.</w:t>
      </w:r>
    </w:p>
    <w:p>
      <w:pPr>
        <w:spacing w:after="60" w:before="120"/>
      </w:pPr>
      <w:r>
        <w:rPr>
          <w:rFonts w:ascii="Arial" w:cs="Arial" w:eastAsia="Arial" w:hAnsi="Arial"/>
          <w:b/>
          <w:bCs/>
        </w:rPr>
        <w:t xml:space="preserve">Navami</w:t>
      </w:r>
      <w:r>
        <w:rPr>
          <w:rFonts w:ascii="Arial" w:cs="Arial" w:eastAsia="Arial" w:hAnsi="Arial"/>
          <w:b/>
          <w:bCs/>
        </w:rPr>
        <w:t xml:space="preserve"> — the injection recipe.</w:t>
      </w:r>
    </w:p>
    <w:p>
      <w:pPr>
        <w:pStyle w:val="ListParagraph"/>
        <w:numPr>
          <w:ilvl w:val="0"/>
          <w:numId w:val="2"/>
        </w:numPr>
        <w:spacing w:after="80"/>
      </w:pPr>
      <w:r>
        <w:rPr>
          <w:rFonts w:ascii="Arial" w:cs="Arial" w:eastAsia="Arial" w:hAnsi="Arial"/>
          <w:b/>
          <w:bCs/>
          <w:color w:val="1F4E79"/>
        </w:rPr>
        <w:t xml:space="preserve">Critical (clear for Thursday): </w:t>
      </w:r>
      <w:r>
        <w:rPr>
          <w:rFonts w:ascii="Arial" w:cs="Arial" w:eastAsia="Arial" w:hAnsi="Arial"/>
        </w:rPr>
        <w:t xml:space="preserve">Translate the Sprint 3 parametrisation into one implementable injection recipe for GSP — the highest-priority fault (100% job-failure, 99% cascade, up to a 23-hour recovery window). The exact event sequence (GSP fires → GPU inoperable → node reboot, recovery window parametrised) written so Tae can wire it directly. This is shaping work you have largely already done — a translation, not a fresh start.</w:t>
      </w:r>
    </w:p>
    <w:p>
      <w:pPr>
        <w:pStyle w:val="ListParagraph"/>
        <w:numPr>
          <w:ilvl w:val="0"/>
          <w:numId w:val="2"/>
        </w:numPr>
        <w:spacing w:after="80"/>
      </w:pPr>
      <w:r>
        <w:rPr>
          <w:rFonts w:ascii="Arial" w:cs="Arial" w:eastAsia="Arial" w:hAnsi="Arial"/>
          <w:b/>
          <w:bCs/>
          <w:color w:val="2E75B6"/>
        </w:rPr>
        <w:t xml:space="preserve">Stretch (Thursday to impress, else Sunday): </w:t>
      </w:r>
      <w:r>
        <w:rPr>
          <w:rFonts w:ascii="Arial" w:cs="Arial" w:eastAsia="Arial" w:hAnsi="Arial"/>
        </w:rPr>
        <w:t xml:space="preserve">Pair with Tae to get the GSP fault actually firing in-sim, producing a measurable JCT delta. If that lands, extend toward the GSP → PMU → MMU cascade with its probabilistic branching.</w:t>
      </w:r>
    </w:p>
    <w:p>
      <w:pPr>
        <w:pStyle w:val="ListParagraph"/>
        <w:numPr>
          <w:ilvl w:val="0"/>
          <w:numId w:val="2"/>
        </w:numPr>
        <w:spacing w:after="80"/>
      </w:pPr>
      <w:r>
        <w:rPr>
          <w:rFonts w:ascii="Arial" w:cs="Arial" w:eastAsia="Arial" w:hAnsi="Arial"/>
          <w:b/>
          <w:bCs/>
          <w:i/>
          <w:iCs/>
        </w:rPr>
        <w:t xml:space="preserve">Micro-presentation (if attending): </w:t>
      </w:r>
      <w:r>
        <w:rPr>
          <w:rFonts w:ascii="Arial" w:cs="Arial" w:eastAsia="Arial" w:hAnsi="Arial"/>
          <w:i/>
          <w:iCs/>
        </w:rPr>
        <w:t xml:space="preserve">the failure taxonomy and why GSP leads — deliverable almost straight from your Sprint 3 work.</w:t>
      </w:r>
    </w:p>
    <w:p>
      <w:pPr>
        <w:spacing w:after="60" w:before="120"/>
      </w:pPr>
      <w:r>
        <w:rPr>
          <w:rFonts w:ascii="Arial" w:cs="Arial" w:eastAsia="Arial" w:hAnsi="Arial"/>
          <w:b/>
          <w:bCs/>
        </w:rPr>
        <w:t xml:space="preserve">Tae</w:t>
      </w:r>
      <w:r>
        <w:rPr>
          <w:rFonts w:ascii="Arial" w:cs="Arial" w:eastAsia="Arial" w:hAnsi="Arial"/>
          <w:b/>
          <w:bCs/>
        </w:rPr>
        <w:t xml:space="preserve"> — the injection point.</w:t>
      </w:r>
    </w:p>
    <w:p>
      <w:pPr>
        <w:pStyle w:val="ListParagraph"/>
        <w:numPr>
          <w:ilvl w:val="0"/>
          <w:numId w:val="2"/>
        </w:numPr>
        <w:spacing w:after="80"/>
      </w:pPr>
      <w:r>
        <w:rPr>
          <w:rFonts w:ascii="Arial" w:cs="Arial" w:eastAsia="Arial" w:hAnsi="Arial"/>
          <w:b/>
          <w:bCs/>
          <w:color w:val="1F4E79"/>
        </w:rPr>
        <w:t xml:space="preserve">Critical (clear for Thursday): </w:t>
      </w:r>
      <w:r>
        <w:rPr>
          <w:rFonts w:ascii="Arial" w:cs="Arial" w:eastAsia="Arial" w:hAnsi="Arial"/>
        </w:rPr>
        <w:t xml:space="preserve">Find and document where in the analytical backend a node or link can be marked failed mid-run, and hand Navami a clean hook to inject against. Confirm we are targeting the congestion-aware executable (failure-and-reroute needs congestion awareness). Alongside this, the repo housekeeping NFR-O1 is quietly asking for: add the team as collaborators, drop the machine-specific prefix line from environment.yml, and confirm pod_a_pipeline/ and pod_b_traffic/ are pushed and reproducible.</w:t>
      </w:r>
    </w:p>
    <w:p>
      <w:pPr>
        <w:pStyle w:val="ListParagraph"/>
        <w:numPr>
          <w:ilvl w:val="0"/>
          <w:numId w:val="2"/>
        </w:numPr>
        <w:spacing w:after="80"/>
      </w:pPr>
      <w:r>
        <w:rPr>
          <w:rFonts w:ascii="Arial" w:cs="Arial" w:eastAsia="Arial" w:hAnsi="Arial"/>
          <w:b/>
          <w:bCs/>
          <w:color w:val="2E75B6"/>
        </w:rPr>
        <w:t xml:space="preserve">Stretch (Thursday to impress, else Sunday): </w:t>
      </w:r>
      <w:r>
        <w:rPr>
          <w:rFonts w:ascii="Arial" w:cs="Arial" w:eastAsia="Arial" w:hAnsi="Arial"/>
        </w:rPr>
        <w:t xml:space="preserve">Wire Navami's recipe and produce a single clean before/after — baseline JCT vs one GSP failure. That is the seed of TC-03 and a lovely thing to show Thursday. By Sunday, a small harness that injects at a given MTBE rate.</w:t>
      </w:r>
    </w:p>
    <w:p>
      <w:pPr>
        <w:pStyle w:val="ListParagraph"/>
        <w:numPr>
          <w:ilvl w:val="0"/>
          <w:numId w:val="2"/>
        </w:numPr>
        <w:spacing w:after="80"/>
      </w:pPr>
      <w:r>
        <w:rPr>
          <w:rFonts w:ascii="Arial" w:cs="Arial" w:eastAsia="Arial" w:hAnsi="Arial"/>
          <w:b/>
          <w:bCs/>
          <w:i/>
          <w:iCs/>
        </w:rPr>
        <w:t xml:space="preserve">Micro-presentation (if attending): </w:t>
      </w:r>
      <w:r>
        <w:rPr>
          <w:rFonts w:ascii="Arial" w:cs="Arial" w:eastAsia="Arial" w:hAnsi="Arial"/>
          <w:i/>
          <w:iCs/>
        </w:rPr>
        <w:t xml:space="preserve">the simulation pipeline and where failure plugs into it.</w:t>
      </w:r>
    </w:p>
    <w:p>
      <w:pPr>
        <w:pStyle w:val="Heading1"/>
      </w:pPr>
      <w:r>
        <w:rPr>
          <w:rFonts w:ascii="Arial" w:cs="Arial" w:eastAsia="Arial" w:hAnsi="Arial"/>
        </w:rPr>
        <w:t xml:space="preserve">Pod B — The Observatory</w:t>
      </w:r>
    </w:p>
    <w:p>
      <w:pPr>
        <w:spacing w:after="100"/>
      </w:pPr>
      <w:r>
        <w:rPr>
          <w:rFonts w:ascii="Arial" w:cs="Arial" w:eastAsia="Arial" w:hAnsi="Arial"/>
          <w:i/>
          <w:iCs/>
          <w:color w:val="595959"/>
        </w:rPr>
        <w:t xml:space="preserve">Kyle (R1 · Workload &amp; Metrics) — pod lead   ·   Ashraf (R4 · NCCL &amp; Collective Communication) — stall signature   ·   Roshan (R3 · Chakra &amp; Trace) — trace fields &amp; converter</w:t>
      </w:r>
    </w:p>
    <w:p>
      <w:pPr>
        <w:spacing w:after="120"/>
      </w:pPr>
      <w:r>
        <w:rPr>
          <w:rFonts w:ascii="Arial" w:cs="Arial" w:eastAsia="Arial" w:hAnsi="Arial"/>
          <w:b/>
          <w:bCs/>
        </w:rPr>
        <w:t xml:space="preserve">How it feeds the bigger picture. </w:t>
      </w:r>
      <w:r>
        <w:rPr>
          <w:rFonts w:ascii="Arial" w:cs="Arial" w:eastAsia="Arial" w:hAnsi="Arial"/>
        </w:rPr>
        <w:t xml:space="preserve">This is the other half of TC-03 — the half that turns a fault into a number. Navami flagged it precisely in Sprint 3: wire the logging before injection begins, so we never retrofit instrumentation after the fact. This pod builds the eyes of the experiment. Get it right and every later comparison — ECMP vs predictive, every JCT claim — reads cleanly off instruments that were there from the start.</w:t>
      </w:r>
    </w:p>
    <w:p>
      <w:pPr>
        <w:spacing w:after="60" w:before="120"/>
      </w:pPr>
      <w:r>
        <w:rPr>
          <w:rFonts w:ascii="Arial" w:cs="Arial" w:eastAsia="Arial" w:hAnsi="Arial"/>
          <w:b/>
          <w:bCs/>
        </w:rPr>
        <w:t xml:space="preserve">Kyle</w:t>
      </w:r>
      <w:r>
        <w:rPr>
          <w:rFonts w:ascii="Arial" w:cs="Arial" w:eastAsia="Arial" w:hAnsi="Arial"/>
          <w:b/>
          <w:bCs/>
        </w:rPr>
        <w:t xml:space="preserve"> — the recovery-penalty harness.</w:t>
      </w:r>
    </w:p>
    <w:p>
      <w:pPr>
        <w:pStyle w:val="ListParagraph"/>
        <w:numPr>
          <w:ilvl w:val="0"/>
          <w:numId w:val="2"/>
        </w:numPr>
        <w:spacing w:after="80"/>
      </w:pPr>
      <w:r>
        <w:rPr>
          <w:rFonts w:ascii="Arial" w:cs="Arial" w:eastAsia="Arial" w:hAnsi="Arial"/>
          <w:b/>
          <w:bCs/>
          <w:color w:val="1F4E79"/>
        </w:rPr>
        <w:t xml:space="preserve">Critical (clear for Thursday): </w:t>
      </w:r>
      <w:r>
        <w:rPr>
          <w:rFonts w:ascii="Arial" w:cs="Arial" w:eastAsia="Arial" w:hAnsi="Arial"/>
        </w:rPr>
        <w:t xml:space="preserve">Stand up the JCT Recovery Penalty measurement using Navami's definition — capture baseline JCT and the diff machinery (JCT-with-failure minus JCT-baseline). It works on existing runs today, before any fault exists, which is exactly why it is the right thing to build first.</w:t>
      </w:r>
    </w:p>
    <w:p>
      <w:pPr>
        <w:pStyle w:val="ListParagraph"/>
        <w:numPr>
          <w:ilvl w:val="0"/>
          <w:numId w:val="2"/>
        </w:numPr>
        <w:spacing w:after="80"/>
      </w:pPr>
      <w:r>
        <w:rPr>
          <w:rFonts w:ascii="Arial" w:cs="Arial" w:eastAsia="Arial" w:hAnsi="Arial"/>
          <w:b/>
          <w:bCs/>
          <w:color w:val="2E75B6"/>
        </w:rPr>
        <w:t xml:space="preserve">Stretch (Thursday to impress, else Sunday): </w:t>
      </w:r>
      <w:r>
        <w:rPr>
          <w:rFonts w:ascii="Arial" w:cs="Arial" w:eastAsia="Arial" w:hAnsi="Arial"/>
        </w:rPr>
        <w:t xml:space="preserve">Add NCCL Stall Duration capture — the time from fault to detected stall (FR-N2). By Sunday, the full five-metric suite wired end to end.</w:t>
      </w:r>
    </w:p>
    <w:p>
      <w:pPr>
        <w:pStyle w:val="ListParagraph"/>
        <w:numPr>
          <w:ilvl w:val="0"/>
          <w:numId w:val="2"/>
        </w:numPr>
        <w:spacing w:after="80"/>
      </w:pPr>
      <w:r>
        <w:rPr>
          <w:rFonts w:ascii="Arial" w:cs="Arial" w:eastAsia="Arial" w:hAnsi="Arial"/>
          <w:b/>
          <w:bCs/>
          <w:i/>
          <w:iCs/>
        </w:rPr>
        <w:t xml:space="preserve">Micro-presentation (if attending): </w:t>
      </w:r>
      <w:r>
        <w:rPr>
          <w:rFonts w:ascii="Arial" w:cs="Arial" w:eastAsia="Arial" w:hAnsi="Arial"/>
          <w:i/>
          <w:iCs/>
        </w:rPr>
        <w:t xml:space="preserve">the metrics pipeline and how the recovery penalty is measured.</w:t>
      </w:r>
    </w:p>
    <w:p>
      <w:pPr>
        <w:spacing w:after="60" w:before="120"/>
      </w:pPr>
      <w:r>
        <w:rPr>
          <w:rFonts w:ascii="Arial" w:cs="Arial" w:eastAsia="Arial" w:hAnsi="Arial"/>
          <w:b/>
          <w:bCs/>
        </w:rPr>
        <w:t xml:space="preserve">Ashraf</w:t>
      </w:r>
      <w:r>
        <w:rPr>
          <w:rFonts w:ascii="Arial" w:cs="Arial" w:eastAsia="Arial" w:hAnsi="Arial"/>
          <w:b/>
          <w:bCs/>
        </w:rPr>
        <w:t xml:space="preserve"> — the stall signature.</w:t>
      </w:r>
    </w:p>
    <w:p>
      <w:pPr>
        <w:pStyle w:val="ListParagraph"/>
        <w:numPr>
          <w:ilvl w:val="0"/>
          <w:numId w:val="2"/>
        </w:numPr>
        <w:spacing w:after="80"/>
      </w:pPr>
      <w:r>
        <w:rPr>
          <w:rFonts w:ascii="Arial" w:cs="Arial" w:eastAsia="Arial" w:hAnsi="Arial"/>
          <w:b/>
          <w:bCs/>
          <w:color w:val="1F4E79"/>
        </w:rPr>
        <w:t xml:space="preserve">Critical (clear for Thursday): </w:t>
      </w:r>
      <w:r>
        <w:rPr>
          <w:rFonts w:ascii="Arial" w:cs="Arial" w:eastAsia="Arial" w:hAnsi="Arial"/>
        </w:rPr>
        <w:t xml:space="preserve">Define, in simulation terms, what an NCCL stall looks like when a collective participant fails — a written criterion with a threshold Kyle can code against (e.g. a collective exceeding its expected completion cycles). This sits right on top of your collective-communication work; you know the shape of these operations better than anyone on the team.</w:t>
      </w:r>
    </w:p>
    <w:p>
      <w:pPr>
        <w:pStyle w:val="ListParagraph"/>
        <w:numPr>
          <w:ilvl w:val="0"/>
          <w:numId w:val="2"/>
        </w:numPr>
        <w:spacing w:after="80"/>
      </w:pPr>
      <w:r>
        <w:rPr>
          <w:rFonts w:ascii="Arial" w:cs="Arial" w:eastAsia="Arial" w:hAnsi="Arial"/>
          <w:b/>
          <w:bCs/>
          <w:color w:val="2E75B6"/>
        </w:rPr>
        <w:t xml:space="preserve">Stretch (Thursday to impress, else Sunday): </w:t>
      </w:r>
      <w:r>
        <w:rPr>
          <w:rFonts w:ascii="Arial" w:cs="Arial" w:eastAsia="Arial" w:hAnsi="Arial"/>
        </w:rPr>
        <w:t xml:space="preserve">Prototype the detector against a manually-broken trace — delay or drop one rank's collective and show the stall being caught. By Sunday, characterise stall behaviour across AllReduce, AllGather and Send/Receive.</w:t>
      </w:r>
    </w:p>
    <w:p>
      <w:pPr>
        <w:pStyle w:val="ListParagraph"/>
        <w:numPr>
          <w:ilvl w:val="0"/>
          <w:numId w:val="2"/>
        </w:numPr>
        <w:spacing w:after="80"/>
      </w:pPr>
      <w:r>
        <w:rPr>
          <w:rFonts w:ascii="Arial" w:cs="Arial" w:eastAsia="Arial" w:hAnsi="Arial"/>
          <w:b/>
          <w:bCs/>
          <w:i/>
          <w:iCs/>
        </w:rPr>
        <w:t xml:space="preserve">Micro-presentation (if attending): </w:t>
      </w:r>
      <w:r>
        <w:rPr>
          <w:rFonts w:ascii="Arial" w:cs="Arial" w:eastAsia="Arial" w:hAnsi="Arial"/>
          <w:i/>
          <w:iCs/>
        </w:rPr>
        <w:t xml:space="preserve">NCCL collectives and how one failed GPU stalls the whole group.</w:t>
      </w:r>
    </w:p>
    <w:p>
      <w:pPr>
        <w:spacing w:after="60" w:before="120"/>
      </w:pPr>
      <w:r>
        <w:rPr>
          <w:rFonts w:ascii="Arial" w:cs="Arial" w:eastAsia="Arial" w:hAnsi="Arial"/>
          <w:b/>
          <w:bCs/>
        </w:rPr>
        <w:t xml:space="preserve">Roshan</w:t>
      </w:r>
      <w:r>
        <w:rPr>
          <w:rFonts w:ascii="Arial" w:cs="Arial" w:eastAsia="Arial" w:hAnsi="Arial"/>
          <w:b/>
          <w:bCs/>
        </w:rPr>
        <w:t xml:space="preserve"> — trace fields, and the converter.</w:t>
      </w:r>
    </w:p>
    <w:p>
      <w:pPr>
        <w:pStyle w:val="ListParagraph"/>
        <w:numPr>
          <w:ilvl w:val="0"/>
          <w:numId w:val="2"/>
        </w:numPr>
        <w:spacing w:after="80"/>
      </w:pPr>
      <w:r>
        <w:rPr>
          <w:rFonts w:ascii="Arial" w:cs="Arial" w:eastAsia="Arial" w:hAnsi="Arial"/>
          <w:b/>
          <w:bCs/>
          <w:color w:val="1F4E79"/>
        </w:rPr>
        <w:t xml:space="preserve">Critical (clear for Thursday): </w:t>
      </w:r>
      <w:r>
        <w:rPr>
          <w:rFonts w:ascii="Arial" w:cs="Arial" w:eastAsia="Arial" w:hAnsi="Arial"/>
        </w:rPr>
        <w:t xml:space="preserve">Confirm the .et schema can carry what injection needs — that the trace can represent a failed participant — or document the gap if it cannot. A low-effort verification that unblocks Pod A.</w:t>
      </w:r>
    </w:p>
    <w:p>
      <w:pPr>
        <w:pStyle w:val="ListParagraph"/>
        <w:numPr>
          <w:ilvl w:val="0"/>
          <w:numId w:val="2"/>
        </w:numPr>
        <w:spacing w:after="80"/>
      </w:pPr>
      <w:r>
        <w:rPr>
          <w:rFonts w:ascii="Arial" w:cs="Arial" w:eastAsia="Arial" w:hAnsi="Arial"/>
          <w:b/>
          <w:bCs/>
          <w:color w:val="2E75B6"/>
        </w:rPr>
        <w:t xml:space="preserve">Stretch (Thursday to impress, else Sunday): </w:t>
      </w:r>
      <w:r>
        <w:rPr>
          <w:rFonts w:ascii="Arial" w:cs="Arial" w:eastAsia="Arial" w:hAnsi="Arial"/>
        </w:rPr>
        <w:t xml:space="preserve">THE showstopper: close the profiler-to-Chakra integration so a real GPT-2 profiler trace runs end to end through ASTRA-sim. This is the 'ingesting generated traces' milestone we have been circling. If it lands by Thursday it is the headline of the demo; if it lands Sunday it is Sprint 5's opening gift. Either way it is the moment our synthetic pipeline becomes a real one.</w:t>
      </w:r>
    </w:p>
    <w:p>
      <w:pPr>
        <w:pStyle w:val="ListParagraph"/>
        <w:numPr>
          <w:ilvl w:val="0"/>
          <w:numId w:val="2"/>
        </w:numPr>
        <w:spacing w:after="80"/>
      </w:pPr>
      <w:r>
        <w:rPr>
          <w:rFonts w:ascii="Arial" w:cs="Arial" w:eastAsia="Arial" w:hAnsi="Arial"/>
          <w:b/>
          <w:bCs/>
          <w:i/>
          <w:iCs/>
        </w:rPr>
        <w:t xml:space="preserve">Micro-presentation (if attending): </w:t>
      </w:r>
      <w:r>
        <w:rPr>
          <w:rFonts w:ascii="Arial" w:cs="Arial" w:eastAsia="Arial" w:hAnsi="Arial"/>
          <w:i/>
          <w:iCs/>
        </w:rPr>
        <w:t xml:space="preserve">the profiler-to-Chakra converter and exactly where it stands.</w:t>
      </w:r>
    </w:p>
    <w:p>
      <w:pPr>
        <w:pStyle w:val="Heading1"/>
      </w:pPr>
      <w:r>
        <w:rPr>
          <w:rFonts w:ascii="Arial" w:cs="Arial" w:eastAsia="Arial" w:hAnsi="Arial"/>
        </w:rPr>
        <w:t xml:space="preserve">The Horizon</w:t>
      </w:r>
    </w:p>
    <w:p>
      <w:pPr>
        <w:spacing w:after="100"/>
      </w:pPr>
      <w:r>
        <w:rPr>
          <w:rFonts w:ascii="Arial" w:cs="Arial" w:eastAsia="Arial" w:hAnsi="Arial"/>
          <w:i/>
          <w:iCs/>
          <w:color w:val="595959"/>
        </w:rPr>
        <w:t xml:space="preserve">Brad (Bradley Quinlan) — team lead, coordinator &amp; project manager   ·   the prediction lane (Prediction domain — Sprint 5 headline)</w:t>
      </w:r>
    </w:p>
    <w:p>
      <w:pPr>
        <w:spacing w:after="120"/>
      </w:pPr>
      <w:r>
        <w:rPr>
          <w:rFonts w:ascii="Arial" w:cs="Arial" w:eastAsia="Arial" w:hAnsi="Arial"/>
          <w:b/>
          <w:bCs/>
        </w:rPr>
        <w:t xml:space="preserve">How it feeds the bigger picture. </w:t>
      </w:r>
      <w:r>
        <w:rPr>
          <w:rFonts w:ascii="Arial" w:cs="Arial" w:eastAsia="Arial" w:hAnsi="Arial"/>
        </w:rPr>
        <w:t xml:space="preserve">Sprint 5's headline is the predictive router — FR-P2, TC-04, the actual thesis of the whole project. It has not needed hands until now, and that has been the right call. But Sprint 5 should not start cold. This lane keeps Sprint 4 coordinated and spends any spare cycles scouting the prediction ground so we arrive at the next planning session already pointed in a direction — beginning to exist a week ahead of the sprint.</w:t>
      </w:r>
    </w:p>
    <w:p>
      <w:pPr>
        <w:pStyle w:val="ListParagraph"/>
        <w:numPr>
          <w:ilvl w:val="0"/>
          <w:numId w:val="2"/>
        </w:numPr>
        <w:spacing w:after="80"/>
      </w:pPr>
      <w:r>
        <w:rPr>
          <w:rFonts w:ascii="Arial" w:cs="Arial" w:eastAsia="Arial" w:hAnsi="Arial"/>
          <w:b/>
          <w:bCs/>
          <w:color w:val="1F4E79"/>
        </w:rPr>
        <w:t xml:space="preserve">Critical (clear for Thursday): </w:t>
      </w:r>
      <w:r>
        <w:rPr>
          <w:rFonts w:ascii="Arial" w:cs="Arial" w:eastAsia="Arial" w:hAnsi="Arial"/>
        </w:rPr>
        <w:t xml:space="preserve">Run the sprint and demo logistics — confirm who is attending Thursday, hold the observability contract as the coordination surface, prepare the supervisor keynotes below. Plus a short scoping brief for the prediction lane: the ECMP baseline (FR-P1) and the predictive options on the table (ST-GAT, LSTM ensemble, CASSINI-style time-shift), with a leaning recommendation.</w:t>
      </w:r>
    </w:p>
    <w:p>
      <w:pPr>
        <w:pStyle w:val="ListParagraph"/>
        <w:numPr>
          <w:ilvl w:val="0"/>
          <w:numId w:val="2"/>
        </w:numPr>
        <w:spacing w:after="80"/>
      </w:pPr>
      <w:r>
        <w:rPr>
          <w:rFonts w:ascii="Arial" w:cs="Arial" w:eastAsia="Arial" w:hAnsi="Arial"/>
          <w:b/>
          <w:bCs/>
          <w:color w:val="1F4E79"/>
        </w:rPr>
        <w:t xml:space="preserve">Floating cover: </w:t>
      </w:r>
      <w:r>
        <w:rPr>
          <w:rFonts w:ascii="Arial" w:cs="Arial" w:eastAsia="Arial" w:hAnsi="Arial"/>
        </w:rPr>
        <w:t xml:space="preserve">Brad holds deliberately unallocated capacity this sprint — so any lane that slips, or whose owner cannot get to it in time, has cover and nothing critical stalls on a single person. The coordinator picks up whatever the sprint needs.</w:t>
      </w:r>
    </w:p>
    <w:p>
      <w:pPr>
        <w:pStyle w:val="ListParagraph"/>
        <w:numPr>
          <w:ilvl w:val="0"/>
          <w:numId w:val="2"/>
        </w:numPr>
        <w:spacing w:after="80"/>
      </w:pPr>
      <w:r>
        <w:rPr>
          <w:rFonts w:ascii="Arial" w:cs="Arial" w:eastAsia="Arial" w:hAnsi="Arial"/>
          <w:b/>
          <w:bCs/>
          <w:color w:val="2E75B6"/>
        </w:rPr>
        <w:t xml:space="preserve">Stretch (Thursday to impress, else Sunday): </w:t>
      </w:r>
      <w:r>
        <w:rPr>
          <w:rFonts w:ascii="Arial" w:cs="Arial" w:eastAsia="Arial" w:hAnsi="Arial"/>
        </w:rPr>
        <w:t xml:space="preserve">Sketch how the ECMP baseline plugs into the congestion-aware backend Tae is standing up. By Sunday, a one-page design sketch for the predictive scheduler.</w:t>
      </w:r>
    </w:p>
    <w:p>
      <w:pPr>
        <w:pStyle w:val="ListParagraph"/>
        <w:numPr>
          <w:ilvl w:val="0"/>
          <w:numId w:val="2"/>
        </w:numPr>
        <w:spacing w:after="80"/>
      </w:pPr>
      <w:r>
        <w:rPr>
          <w:rFonts w:ascii="Arial" w:cs="Arial" w:eastAsia="Arial" w:hAnsi="Arial"/>
          <w:b/>
          <w:bCs/>
          <w:i/>
          <w:iCs/>
        </w:rPr>
        <w:t xml:space="preserve">Micro-presentation (if attending): </w:t>
      </w:r>
      <w:r>
        <w:rPr>
          <w:rFonts w:ascii="Arial" w:cs="Arial" w:eastAsia="Arial" w:hAnsi="Arial"/>
          <w:i/>
          <w:iCs/>
        </w:rPr>
        <w:t xml:space="preserve">the big picture — where the project is heading and how Sprint 4 sets up the Sprint 5 thesis test. The natural slot to frame the whole thing for Muge.</w:t>
      </w:r>
    </w:p>
    <w:p>
      <w:pPr>
        <w:pStyle w:val="Heading1"/>
      </w:pPr>
      <w:r>
        <w:rPr>
          <w:rFonts w:ascii="Arial" w:cs="Arial" w:eastAsia="Arial" w:hAnsi="Arial"/>
        </w:rPr>
        <w:t xml:space="preserve">The Sprint 4 integration contract — the observability schema</w:t>
      </w:r>
    </w:p>
    <w:p>
      <w:pPr>
        <w:spacing w:after="120"/>
      </w:pPr>
      <w:r>
        <w:rPr>
          <w:rFonts w:ascii="Arial" w:cs="Arial" w:eastAsia="Arial" w:hAnsi="Arial"/>
        </w:rPr>
        <w:t xml:space="preserve">Sprint 3's contract was the .et trace schema; the two pods met in one valid file. Sprint 4's equivalent is the observability schema — the fields a failure event must record so Pod A's injection and Pod B's measurement meet cleanly without a verbal handshake. These are Navami's five metrics, promoted to the coordination surface. Build against this table, not against each other's inboxes.</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3210"/>
        <w:gridCol w:w="2300"/>
        <w:gridCol w:w="1800"/>
      </w:tblGrid>
      <w:tr>
        <w:trPr>
          <w:tblHeader/>
        </w:trPr>
        <w:tc>
          <w:tcPr>
            <w:tcW w:type="dxa" w:w="2050"/>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 metric</w:t>
            </w:r>
          </w:p>
        </w:tc>
        <w:tc>
          <w:tcPr>
            <w:tcW w:type="dxa" w:w="3210"/>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records</w:t>
            </w:r>
          </w:p>
        </w:tc>
        <w:tc>
          <w:tcPr>
            <w:tcW w:type="dxa" w:w="2300"/>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1800"/>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Verifies</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JCT Recovery Penalty</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(JCT with failure) − (JCT baseline)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Pod B reads · Pod A triggers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FR-G2, TC-03</w:t>
            </w:r>
          </w:p>
        </w:tc>
      </w:tr>
      <w:tr>
        <w:tc>
          <w:tcPr>
            <w:tcW w:type="dxa" w:w="20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NCCL Stall Duration</w:t>
            </w:r>
          </w:p>
        </w:tc>
        <w:tc>
          <w:tcPr>
            <w:tcW w:type="dxa" w:w="32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Fault timestamp → stall-detection timestamp</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Pod B (Ashraf signature, Kyle capture)</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FR-N2</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Cluster Affected %</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Share of nodes degraded at peak propagation</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Pod A injection 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FR-G3</w:t>
            </w:r>
          </w:p>
        </w:tc>
      </w:tr>
      <w:tr>
        <w:tc>
          <w:tcPr>
            <w:tcW w:type="dxa" w:w="20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Node Reboot Frequency</w:t>
            </w:r>
          </w:p>
        </w:tc>
        <w:tc>
          <w:tcPr>
            <w:tcW w:type="dxa" w:w="321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Node-removal / reboot events per epoch</w:t>
            </w:r>
          </w:p>
        </w:tc>
        <w:tc>
          <w:tcPr>
            <w:tcW w:type="dxa" w:w="2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Pod A injection logic</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FR-G2</w:t>
            </w:r>
          </w:p>
        </w:tc>
      </w:tr>
      <w:tr>
        <w:tc>
          <w:tcPr>
            <w:tcW w:type="dxa" w:w="2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Routing Benefit</w:t>
            </w:r>
          </w:p>
        </w:tc>
        <w:tc>
          <w:tcPr>
            <w:tcW w:type="dxa" w:w="32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ECMP vs predictive penalty gap (defined now, used Sprint 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Horizon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FR-P2, TC-04</w:t>
            </w:r>
          </w:p>
        </w:tc>
      </w:tr>
    </w:tbl>
    <w:p>
      <w:pPr>
        <w:spacing w:after="120"/>
      </w:pPr>
      <w:r>
        <w:rPr>
          <w:rFonts w:ascii="Arial" w:cs="Arial" w:eastAsia="Arial" w:hAnsi="Arial"/>
        </w:rPr>
        <w:t xml:space="preserve"/>
      </w:r>
    </w:p>
    <w:p>
      <w:pPr>
        <w:spacing w:after="120"/>
      </w:pPr>
      <w:r>
        <w:rPr>
          <w:rFonts w:ascii="Arial" w:cs="Arial" w:eastAsia="Arial" w:hAnsi="Arial"/>
          <w:b/>
          <w:bCs/>
        </w:rPr>
        <w:t xml:space="preserve">Read it as: </w:t>
      </w:r>
      <w:r>
        <w:rPr>
          <w:rFonts w:ascii="Arial" w:cs="Arial" w:eastAsia="Arial" w:hAnsi="Arial"/>
        </w:rPr>
        <w:t xml:space="preserve">Pod A's injection writes the fault-side fields (what failed, when, how far it spread); Pod B's logging reads the cost-side fields (the stall, the penalty). The two meeting in one clean measurement is the whole of TC-03.</w:t>
      </w:r>
    </w:p>
    <w:p>
      <w:pPr>
        <w:pStyle w:val="Heading1"/>
      </w:pPr>
      <w:r>
        <w:rPr>
          <w:rFonts w:ascii="Arial" w:cs="Arial" w:eastAsia="Arial" w:hAnsi="Arial"/>
        </w:rPr>
        <w:t xml:space="preserve">Acceptance targets this sprint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5060"/>
        <w:gridCol w:w="1450"/>
        <w:gridCol w:w="1800"/>
      </w:tblGrid>
      <w:tr>
        <w:trPr>
          <w:tblHeader/>
        </w:trPr>
        <w:tc>
          <w:tcPr>
            <w:tcW w:type="dxa" w:w="1050"/>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Test</w:t>
            </w:r>
          </w:p>
        </w:tc>
        <w:tc>
          <w:tcPr>
            <w:tcW w:type="dxa" w:w="5060"/>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this sprint</w:t>
            </w:r>
          </w:p>
        </w:tc>
        <w:tc>
          <w:tcPr>
            <w:tcW w:type="dxa" w:w="1450"/>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800"/>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Verifies</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A GPU failure injected mid-run; the resulting stall detected and the JCT recovery penalty logged. Critical bar: mechanism + recovery-penalty harness ready and a single GSP injection demonstrated. The full 5% rate scenario is stretch.</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Pod A + Pod 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FR-G2, FR-G3, FR-N2</w:t>
            </w:r>
          </w:p>
        </w:tc>
      </w:tr>
      <w:tr>
        <w:tc>
          <w:tcPr>
            <w:tcW w:type="dxa" w:w="10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TC-01</w:t>
            </w:r>
          </w:p>
        </w:tc>
        <w:tc>
          <w:tcPr>
            <w:tcW w:type="dxa" w:w="50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Remains green — pipeline still closes, metrics still correct (regression).</w:t>
            </w:r>
          </w:p>
        </w:tc>
        <w:tc>
          <w:tcPr>
            <w:tcW w:type="dxa" w:w="145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Pod A</w:t>
            </w:r>
          </w:p>
        </w:tc>
        <w:tc>
          <w:tcPr>
            <w:tcW w:type="dxa" w:w="18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r>
              <w:rPr>
                <w:rFonts w:ascii="Arial" w:cs="Arial" w:eastAsia="Arial" w:hAnsi="Arial"/>
                <w:sz w:val="20"/>
                <w:szCs w:val="20"/>
              </w:rPr>
              <w:t xml:space="preserve">FR-M1, FR-M2, FR-P1</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TC-02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Remains green — baseline curves unchanged (regression).</w:t>
            </w:r>
          </w:p>
        </w:tc>
        <w:tc>
          <w:tcPr>
            <w:tcW w:type="dxa" w:w="14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Pod B</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sz w:val="20"/>
                <w:szCs w:val="20"/>
              </w:rPr>
              <w:t xml:space="preserve">FR-G1, FR-N1, FR-N2</w:t>
            </w:r>
          </w:p>
        </w:tc>
      </w:tr>
    </w:tbl>
    <w:p>
      <w:pPr>
        <w:spacing w:after="120"/>
      </w:pPr>
      <w:r>
        <w:rPr>
          <w:rFonts w:ascii="Arial" w:cs="Arial" w:eastAsia="Arial" w:hAnsi="Arial"/>
        </w:rPr>
        <w:t xml:space="preserve"/>
      </w:r>
    </w:p>
    <w:p>
      <w:pPr>
        <w:spacing w:after="120"/>
      </w:pPr>
      <w:r>
        <w:rPr>
          <w:rFonts w:ascii="Arial" w:cs="Arial" w:eastAsia="Arial" w:hAnsi="Arial"/>
          <w:b/>
          <w:bCs/>
        </w:rPr>
        <w:t xml:space="preserve">A note on the 5% figure. </w:t>
      </w:r>
      <w:r>
        <w:rPr>
          <w:rFonts w:ascii="Arial" w:cs="Arial" w:eastAsia="Arial" w:hAnsi="Arial"/>
        </w:rPr>
        <w:t xml:space="preserve">The SRS writes TC-03 as a 5% GPU failure rate. We are treating the mechanism — one fault, cleanly injected and measured — as this sprint's critical bar, and the 5% rate scenario as stretch flowing into Navami's three-point sensitivity sweep in Sprint 5. That keeps the sprint honest and unhurried while leaving the headline number well within reach.</w:t>
      </w:r>
    </w:p>
    <w:p>
      <w:pPr>
        <w:pStyle w:val="Heading1"/>
      </w:pPr>
      <w:r>
        <w:rPr>
          <w:rFonts w:ascii="Arial" w:cs="Arial" w:eastAsia="Arial" w:hAnsi="Arial"/>
        </w:rPr>
        <w:t xml:space="preserve">The Thursday demo — what we show Muge</w:t>
      </w:r>
    </w:p>
    <w:p>
      <w:pPr>
        <w:spacing w:after="120"/>
      </w:pPr>
      <w:r>
        <w:rPr>
          <w:rFonts w:ascii="Arial" w:cs="Arial" w:eastAsia="Arial" w:hAnsi="Arial"/>
        </w:rPr>
        <w:t xml:space="preserve">In priority order, so that even a quiet week is a strong showing:</w:t>
      </w:r>
    </w:p>
    <w:p>
      <w:pPr>
        <w:pStyle w:val="ListParagraph"/>
        <w:numPr>
          <w:ilvl w:val="0"/>
          <w:numId w:val="3"/>
        </w:numPr>
        <w:spacing w:after="80"/>
      </w:pPr>
      <w:r>
        <w:rPr>
          <w:rFonts w:ascii="Arial" w:cs="Arial" w:eastAsia="Arial" w:hAnsi="Arial"/>
          <w:b/>
          <w:bCs/>
        </w:rPr>
        <w:t xml:space="preserve">The instrument works. </w:t>
      </w:r>
      <w:r>
        <w:rPr>
          <w:rFonts w:ascii="Arial" w:cs="Arial" w:eastAsia="Arial" w:hAnsi="Arial"/>
        </w:rPr>
        <w:t xml:space="preserve">TC-01 and TC-02, closed and green. Lead here — it is the strongest, most finished thing we have, and it is the Agile story Muge wants: five lanes became one working pipeline.</w:t>
      </w:r>
    </w:p>
    <w:p>
      <w:pPr>
        <w:pStyle w:val="ListParagraph"/>
        <w:numPr>
          <w:ilvl w:val="0"/>
          <w:numId w:val="3"/>
        </w:numPr>
        <w:spacing w:after="80"/>
      </w:pPr>
      <w:r>
        <w:rPr>
          <w:rFonts w:ascii="Arial" w:cs="Arial" w:eastAsia="Arial" w:hAnsi="Arial"/>
          <w:b/>
          <w:bCs/>
        </w:rPr>
        <w:t xml:space="preserve">The finding. </w:t>
      </w:r>
      <w:r>
        <w:rPr>
          <w:rFonts w:ascii="Arial" w:cs="Arial" w:eastAsia="Arial" w:hAnsi="Arial"/>
        </w:rPr>
        <w:t xml:space="preserve">Bus-bandwidth saturation at GPT-2 scale by 16 NPUs — named as a result, not buried in a table. It motivates everything Sprint 4 and 5 do.</w:t>
      </w:r>
    </w:p>
    <w:p>
      <w:pPr>
        <w:pStyle w:val="ListParagraph"/>
        <w:numPr>
          <w:ilvl w:val="0"/>
          <w:numId w:val="3"/>
        </w:numPr>
        <w:spacing w:after="80"/>
      </w:pPr>
      <w:r>
        <w:rPr>
          <w:rFonts w:ascii="Arial" w:cs="Arial" w:eastAsia="Arial" w:hAnsi="Arial"/>
          <w:b/>
          <w:bCs/>
        </w:rPr>
        <w:t xml:space="preserve">Sprint 4 in motion. </w:t>
      </w:r>
      <w:r>
        <w:rPr>
          <w:rFonts w:ascii="Arial" w:cs="Arial" w:eastAsia="Arial" w:hAnsi="Arial"/>
        </w:rPr>
        <w:t xml:space="preserve">The failure parametrisation as a ready-to-execute asset, the recovery-penalty harness wired, the injection point identified. 'Here is how we make it fail, and here is how we measure the cost.'</w:t>
      </w:r>
    </w:p>
    <w:p>
      <w:pPr>
        <w:pStyle w:val="ListParagraph"/>
        <w:numPr>
          <w:ilvl w:val="0"/>
          <w:numId w:val="3"/>
        </w:numPr>
        <w:spacing w:after="80"/>
      </w:pPr>
      <w:r>
        <w:rPr>
          <w:rFonts w:ascii="Arial" w:cs="Arial" w:eastAsia="Arial" w:hAnsi="Arial"/>
          <w:b/>
          <w:bCs/>
        </w:rPr>
        <w:t xml:space="preserve">The stretch, if it lands. </w:t>
      </w:r>
      <w:r>
        <w:rPr>
          <w:rFonts w:ascii="Arial" w:cs="Arial" w:eastAsia="Arial" w:hAnsi="Arial"/>
        </w:rPr>
        <w:t xml:space="preserve">A live GSP fault with a measured JCT delta — or, the real showstopper, a profiler-generated trace running end to end through ASTRA-sim. Held as a bonus, never promised.</w:t>
      </w:r>
    </w:p>
    <w:p>
      <w:pPr>
        <w:pStyle w:val="Heading1"/>
      </w:pPr>
      <w:r>
        <w:rPr>
          <w:rFonts w:ascii="Arial" w:cs="Arial" w:eastAsia="Arial" w:hAnsi="Arial"/>
        </w:rPr>
        <w:t xml:space="preserve">Micro-presentations — a soft goal</w:t>
      </w:r>
    </w:p>
    <w:p>
      <w:pPr>
        <w:spacing w:after="120"/>
      </w:pPr>
      <w:r>
        <w:rPr>
          <w:rFonts w:ascii="Arial" w:cs="Arial" w:eastAsia="Arial" w:hAnsi="Arial"/>
        </w:rPr>
        <w:t xml:space="preserve">A gentle ask, not a sprint task: anyone attending Thursday, have a 1–2 minute account of your work ready — the kind you would give a sharp colleague who was not in the room. It is rehearsal for the end-of-project presentation assessment, and it surfaces naturally from what you have already done. The slots:</w:t>
      </w:r>
    </w:p>
    <w:p>
      <w:pPr>
        <w:pStyle w:val="ListParagraph"/>
        <w:numPr>
          <w:ilvl w:val="0"/>
          <w:numId w:val="2"/>
        </w:numPr>
        <w:spacing w:after="80"/>
      </w:pPr>
      <w:r>
        <w:rPr>
          <w:rFonts w:ascii="Arial" w:cs="Arial" w:eastAsia="Arial" w:hAnsi="Arial"/>
          <w:b/>
          <w:bCs/>
        </w:rPr>
        <w:t xml:space="preserve">Tae — </w:t>
      </w:r>
      <w:r>
        <w:rPr>
          <w:rFonts w:ascii="Arial" w:cs="Arial" w:eastAsia="Arial" w:hAnsi="Arial"/>
        </w:rPr>
        <w:t xml:space="preserve">the pipeline, and where failure plugs in.</w:t>
      </w:r>
    </w:p>
    <w:p>
      <w:pPr>
        <w:pStyle w:val="ListParagraph"/>
        <w:numPr>
          <w:ilvl w:val="0"/>
          <w:numId w:val="2"/>
        </w:numPr>
        <w:spacing w:after="80"/>
      </w:pPr>
      <w:r>
        <w:rPr>
          <w:rFonts w:ascii="Arial" w:cs="Arial" w:eastAsia="Arial" w:hAnsi="Arial"/>
          <w:b/>
          <w:bCs/>
        </w:rPr>
        <w:t xml:space="preserve">Navami — </w:t>
      </w:r>
      <w:r>
        <w:rPr>
          <w:rFonts w:ascii="Arial" w:cs="Arial" w:eastAsia="Arial" w:hAnsi="Arial"/>
        </w:rPr>
        <w:t xml:space="preserve">the failure taxonomy and why GSP leads.</w:t>
      </w:r>
    </w:p>
    <w:p>
      <w:pPr>
        <w:pStyle w:val="ListParagraph"/>
        <w:numPr>
          <w:ilvl w:val="0"/>
          <w:numId w:val="2"/>
        </w:numPr>
        <w:spacing w:after="80"/>
      </w:pPr>
      <w:r>
        <w:rPr>
          <w:rFonts w:ascii="Arial" w:cs="Arial" w:eastAsia="Arial" w:hAnsi="Arial"/>
          <w:b/>
          <w:bCs/>
        </w:rPr>
        <w:t xml:space="preserve">Kyle — </w:t>
      </w:r>
      <w:r>
        <w:rPr>
          <w:rFonts w:ascii="Arial" w:cs="Arial" w:eastAsia="Arial" w:hAnsi="Arial"/>
        </w:rPr>
        <w:t xml:space="preserve">the metrics pipeline and the recovery penalty.</w:t>
      </w:r>
    </w:p>
    <w:p>
      <w:pPr>
        <w:pStyle w:val="ListParagraph"/>
        <w:numPr>
          <w:ilvl w:val="0"/>
          <w:numId w:val="2"/>
        </w:numPr>
        <w:spacing w:after="80"/>
      </w:pPr>
      <w:r>
        <w:rPr>
          <w:rFonts w:ascii="Arial" w:cs="Arial" w:eastAsia="Arial" w:hAnsi="Arial"/>
          <w:b/>
          <w:bCs/>
        </w:rPr>
        <w:t xml:space="preserve">Ashraf — </w:t>
      </w:r>
      <w:r>
        <w:rPr>
          <w:rFonts w:ascii="Arial" w:cs="Arial" w:eastAsia="Arial" w:hAnsi="Arial"/>
        </w:rPr>
        <w:t xml:space="preserve">NCCL collectives and how a failed GPU stalls the group.</w:t>
      </w:r>
    </w:p>
    <w:p>
      <w:pPr>
        <w:pStyle w:val="ListParagraph"/>
        <w:numPr>
          <w:ilvl w:val="0"/>
          <w:numId w:val="2"/>
        </w:numPr>
        <w:spacing w:after="80"/>
      </w:pPr>
      <w:r>
        <w:rPr>
          <w:rFonts w:ascii="Arial" w:cs="Arial" w:eastAsia="Arial" w:hAnsi="Arial"/>
          <w:b/>
          <w:bCs/>
        </w:rPr>
        <w:t xml:space="preserve">Roshan — </w:t>
      </w:r>
      <w:r>
        <w:rPr>
          <w:rFonts w:ascii="Arial" w:cs="Arial" w:eastAsia="Arial" w:hAnsi="Arial"/>
        </w:rPr>
        <w:t xml:space="preserve">the profiler-to-Chakra converter and its status.</w:t>
      </w:r>
    </w:p>
    <w:p>
      <w:pPr>
        <w:pStyle w:val="ListParagraph"/>
        <w:numPr>
          <w:ilvl w:val="0"/>
          <w:numId w:val="2"/>
        </w:numPr>
        <w:spacing w:after="80"/>
      </w:pPr>
      <w:r>
        <w:rPr>
          <w:rFonts w:ascii="Arial" w:cs="Arial" w:eastAsia="Arial" w:hAnsi="Arial"/>
          <w:b/>
          <w:bCs/>
        </w:rPr>
        <w:t xml:space="preserve">Brad (coordination) — </w:t>
      </w:r>
      <w:r>
        <w:rPr>
          <w:rFonts w:ascii="Arial" w:cs="Arial" w:eastAsia="Arial" w:hAnsi="Arial"/>
        </w:rPr>
        <w:t xml:space="preserve">the big picture and the road to Sprint 5.</w:t>
      </w:r>
    </w:p>
    <w:p>
      <w:pPr>
        <w:spacing w:after="120"/>
      </w:pPr>
      <w:r>
        <w:rPr>
          <w:rFonts w:ascii="Arial" w:cs="Arial" w:eastAsia="Arial" w:hAnsi="Arial"/>
        </w:rPr>
        <w:t xml:space="preserve">Whoever cannot give theirs yet now knows exactly which gap to close — that is useful information, not a failing.</w:t>
      </w:r>
    </w:p>
    <w:p>
      <w:pPr>
        <w:pStyle w:val="Heading1"/>
      </w:pPr>
      <w:r>
        <w:rPr>
          <w:rFonts w:ascii="Arial" w:cs="Arial" w:eastAsia="Arial" w:hAnsi="Arial"/>
        </w:rPr>
        <w:t xml:space="preserve">How we coordinate</w:t>
      </w:r>
    </w:p>
    <w:p>
      <w:pPr>
        <w:spacing w:after="120"/>
      </w:pPr>
      <w:r>
        <w:rPr>
          <w:rFonts w:ascii="Arial" w:cs="Arial" w:eastAsia="Arial" w:hAnsi="Arial"/>
        </w:rPr>
        <w:t xml:space="preserve">The observability schema does the coordinating, the same way the .et contract did last sprint. If you are blocked, the first question is whether that table answers it before it reaches me. Thursday holds for the demo; the weekend is genuine recovery time, with the stretch tier as the only thing that ever lives there — and it lives there entirely optionally. Sunday is a soft horizon for stretch work, not a second deadline. We do not crunch.</w:t>
      </w:r>
    </w:p>
    <w:p>
      <w:pPr>
        <w:pStyle w:val="Heading1"/>
      </w:pPr>
      <w:r>
        <w:rPr>
          <w:rFonts w:ascii="Arial" w:cs="Arial" w:eastAsia="Arial" w:hAnsi="Arial"/>
        </w:rPr>
        <w:t xml:space="preserve">Keynotes — supervisor meeting</w:t>
      </w:r>
    </w:p>
    <w:p>
      <w:pPr>
        <w:spacing w:after="100"/>
      </w:pPr>
      <w:r>
        <w:rPr>
          <w:rFonts w:ascii="Arial" w:cs="Arial" w:eastAsia="Arial" w:hAnsi="Arial"/>
          <w:i/>
          <w:iCs/>
          <w:color w:val="595959"/>
        </w:rPr>
        <w:t xml:space="preserve">Positions to land, not problems to bring — walking in with a plan and seeking assent.</w:t>
      </w:r>
    </w:p>
    <w:p>
      <w:pPr>
        <w:pStyle w:val="ListParagraph"/>
        <w:numPr>
          <w:ilvl w:val="0"/>
          <w:numId w:val="2"/>
        </w:numPr>
        <w:spacing w:after="80"/>
      </w:pPr>
      <w:r>
        <w:rPr>
          <w:rFonts w:ascii="Arial" w:cs="Arial" w:eastAsia="Arial" w:hAnsi="Arial"/>
          <w:b/>
          <w:bCs/>
        </w:rPr>
        <w:t xml:space="preserve">Framing: </w:t>
      </w:r>
      <w:r>
        <w:rPr>
          <w:rFonts w:ascii="Arial" w:cs="Arial" w:eastAsia="Arial" w:hAnsi="Arial"/>
        </w:rPr>
        <w:t xml:space="preserve">Sprint 3 integrated the lanes into a working instrument; Sprint 4 stresses it with failure injection and observability. Planned Agile sequencing, right on the WBS.</w:t>
      </w:r>
    </w:p>
    <w:p>
      <w:pPr>
        <w:pStyle w:val="ListParagraph"/>
        <w:numPr>
          <w:ilvl w:val="0"/>
          <w:numId w:val="2"/>
        </w:numPr>
        <w:spacing w:after="80"/>
      </w:pPr>
      <w:r>
        <w:rPr>
          <w:rFonts w:ascii="Arial" w:cs="Arial" w:eastAsia="Arial" w:hAnsi="Arial"/>
          <w:b/>
          <w:bCs/>
        </w:rPr>
        <w:t xml:space="preserve">Acting on her steer: </w:t>
      </w:r>
      <w:r>
        <w:rPr>
          <w:rFonts w:ascii="Arial" w:cs="Arial" w:eastAsia="Arial" w:hAnsi="Arial"/>
        </w:rPr>
        <w:t xml:space="preserve">the analytic-collective methodology she steered us toward held up — TC-02's curves match theory exactly. Thank her; confirm it is now load-bearing.</w:t>
      </w:r>
    </w:p>
    <w:p>
      <w:pPr>
        <w:pStyle w:val="ListParagraph"/>
        <w:numPr>
          <w:ilvl w:val="0"/>
          <w:numId w:val="2"/>
        </w:numPr>
        <w:spacing w:after="80"/>
      </w:pPr>
      <w:r>
        <w:rPr>
          <w:rFonts w:ascii="Arial" w:cs="Arial" w:eastAsia="Arial" w:hAnsi="Arial"/>
          <w:b/>
          <w:bCs/>
        </w:rPr>
        <w:t xml:space="preserve">Acceptance targets: </w:t>
      </w:r>
      <w:r>
        <w:rPr>
          <w:rFonts w:ascii="Arial" w:cs="Arial" w:eastAsia="Arial" w:hAnsi="Arial"/>
        </w:rPr>
        <w:t xml:space="preserve">TC-01 and TC-02 closed; TC-03's mechanism is this sprint, with the 5% scenario and the sensitivity sweep sequenced into Sprint 5.</w:t>
      </w:r>
    </w:p>
    <w:p>
      <w:pPr>
        <w:pStyle w:val="ListParagraph"/>
        <w:numPr>
          <w:ilvl w:val="0"/>
          <w:numId w:val="2"/>
        </w:numPr>
        <w:spacing w:after="80"/>
      </w:pPr>
      <w:r>
        <w:rPr>
          <w:rFonts w:ascii="Arial" w:cs="Arial" w:eastAsia="Arial" w:hAnsi="Arial"/>
          <w:b/>
          <w:bCs/>
        </w:rPr>
        <w:t xml:space="preserve">The finding: </w:t>
      </w:r>
      <w:r>
        <w:rPr>
          <w:rFonts w:ascii="Arial" w:cs="Arial" w:eastAsia="Arial" w:hAnsi="Arial"/>
        </w:rPr>
        <w:t xml:space="preserve">lead with bandwidth saturation — it shows we are not just running the simulator, we are reading it.</w:t>
      </w:r>
    </w:p>
    <w:p>
      <w:pPr>
        <w:pStyle w:val="ListParagraph"/>
        <w:numPr>
          <w:ilvl w:val="0"/>
          <w:numId w:val="2"/>
        </w:numPr>
        <w:spacing w:after="80"/>
      </w:pPr>
      <w:r>
        <w:rPr>
          <w:rFonts w:ascii="Arial" w:cs="Arial" w:eastAsia="Arial" w:hAnsi="Arial"/>
          <w:b/>
          <w:bCs/>
        </w:rPr>
        <w:t xml:space="preserve">Forward look: </w:t>
      </w:r>
      <w:r>
        <w:rPr>
          <w:rFonts w:ascii="Arial" w:cs="Arial" w:eastAsia="Arial" w:hAnsi="Arial"/>
        </w:rPr>
        <w:t xml:space="preserve">prediction (FR-P2) is Sprint 5's headline; we are scaffolding it now so it does not start cold. The Alibaba HPN dual-ToR topology (FR-G1) remains held as a realism upgrade for once the baseline is solid.</w:t>
      </w:r>
    </w:p>
    <w:p>
      <w:pPr>
        <w:pStyle w:val="Heading1"/>
      </w:pPr>
      <w:r>
        <w:rPr>
          <w:rFonts w:ascii="Arial" w:cs="Arial" w:eastAsia="Arial" w:hAnsi="Arial"/>
        </w:rPr>
        <w:t xml:space="preserve">Where the project stands — the whole picture</w:t>
      </w:r>
    </w:p>
    <w:p>
      <w:pPr>
        <w:spacing w:after="120"/>
      </w:pPr>
      <w:r>
        <w:rPr>
          <w:rFonts w:ascii="Arial" w:cs="Arial" w:eastAsia="Arial" w:hAnsi="Arial"/>
        </w:rPr>
        <w:t xml:space="preserve">A step back, since it is worth confirming we are aligned and not just busy.</w:t>
      </w:r>
    </w:p>
    <w:p>
      <w:pPr>
        <w:spacing w:after="120"/>
      </w:pPr>
      <w:r>
        <w:rPr>
          <w:rFonts w:ascii="Arial" w:cs="Arial" w:eastAsia="Arial" w:hAnsi="Arial"/>
          <w:b/>
          <w:bCs/>
        </w:rPr>
        <w:t xml:space="preserve">Against the requirements. </w:t>
      </w:r>
      <w:r>
        <w:rPr>
          <w:rFonts w:ascii="Arial" w:cs="Arial" w:eastAsia="Arial" w:hAnsi="Arial"/>
        </w:rPr>
        <w:t xml:space="preserve">Every sprint maps to named requirements and a named test, and Sprint 4 is no exception (FR-G2, FR-G3, FR-N2 → TC-03). That traceability is exactly what the assessment rubric rewards under Requirements and Testing Schedule, and it is holding firm. Nothing has drifted.</w:t>
      </w:r>
    </w:p>
    <w:p>
      <w:pPr>
        <w:spacing w:after="120"/>
      </w:pPr>
      <w:r>
        <w:rPr>
          <w:rFonts w:ascii="Arial" w:cs="Arial" w:eastAsia="Arial" w:hAnsi="Arial"/>
          <w:b/>
          <w:bCs/>
        </w:rPr>
        <w:t xml:space="preserve">Against the schedule. </w:t>
      </w:r>
      <w:r>
        <w:rPr>
          <w:rFonts w:ascii="Arial" w:cs="Arial" w:eastAsia="Arial" w:hAnsi="Arial"/>
        </w:rPr>
        <w:t xml:space="preserve">The WBS put 'Simulation and Failure' in late May to early June — ASTRA-sim setup, topology, MTBE failure injection. We are precisely there. Foundation is done; Simulation-and-Failure is mid-flight, on time; Intelligence (the predictive scheduler) is correctly still ahead in mid-June. The 3 July deadline has slack built in front of it, and we have not had to spend any of it. We are on the line we drew.</w:t>
      </w:r>
    </w:p>
    <w:p>
      <w:pPr>
        <w:spacing w:after="120"/>
      </w:pPr>
      <w:r>
        <w:rPr>
          <w:rFonts w:ascii="Arial" w:cs="Arial" w:eastAsia="Arial" w:hAnsi="Arial"/>
          <w:b/>
          <w:bCs/>
        </w:rPr>
        <w:t xml:space="preserve">Against the thesis. </w:t>
      </w:r>
      <w:r>
        <w:rPr>
          <w:rFonts w:ascii="Arial" w:cs="Arial" w:eastAsia="Arial" w:hAnsi="Arial"/>
        </w:rPr>
        <w:t xml:space="preserve">Here is the one thing to keep in view: the project's actual claim — predictive routing reduces JCT under failure — does not get tested until TC-04 in Sprint 5. Everything to date is the apparatus that makes that test possible and credible. That is not a worry; it is the correct shape for this kind of project. But it does mean Sprint 4's observability work is quietly load-bearing: if we cannot measure a failure's cost cleanly, we cannot prove the router helps. Which is exactly why Pod B builds the instruments before the fault — and why Navami's foresight in Sprint 3 was worth as much as any line of code.</w:t>
      </w:r>
    </w:p>
    <w:p>
      <w:pPr>
        <w:spacing w:after="120"/>
      </w:pPr>
      <w:r>
        <w:rPr>
          <w:rFonts w:ascii="Arial" w:cs="Arial" w:eastAsia="Arial" w:hAnsi="Arial"/>
          <w:b/>
          <w:bCs/>
        </w:rPr>
        <w:t xml:space="preserve">Two things on the horizon, noted so they are not forgotten. </w:t>
      </w:r>
      <w:r>
        <w:rPr>
          <w:rFonts w:ascii="Arial" w:cs="Arial" w:eastAsia="Arial" w:hAnsi="Arial"/>
        </w:rPr>
        <w:t xml:space="preserve">The dual-ToR topology (FR-G1) is deferred by design, but it is real and should not slip off the radar — a Sprint 5 or 6 realism upgrade. And NFR-P2's 1024-GPU, under-four-hour target is well beyond our 64-NPU sweeps so far; worth a scaling check before we promise it in the final report.</w:t>
      </w:r>
    </w:p>
    <w:p>
      <w:pPr>
        <w:spacing w:after="120"/>
      </w:pPr>
      <w:r>
        <w:rPr>
          <w:rFonts w:ascii="Arial" w:cs="Arial" w:eastAsia="Arial" w:hAnsi="Arial"/>
          <w:b/>
          <w:bCs/>
        </w:rPr>
        <w:t xml:space="preserve">The verdict. </w:t>
      </w:r>
      <w:r>
        <w:rPr>
          <w:rFonts w:ascii="Arial" w:cs="Arial" w:eastAsia="Arial" w:hAnsi="Arial"/>
        </w:rPr>
        <w:t xml:space="preserve">Everything is shaping up well. The team is ahead of where the SRS assumed it would be, the methodology is defensible and now partly validated, the documentation is genuinely strong, and the path to Thursday is clear without anyone needing to sprint at a sprint. Good work, all of you — let's keep the pace humane and the instrument honest.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D2E8" w:sz="4" w:space="6"/>
      </w:pBdr>
      <w:tabs>
        <w:tab w:val="right" w:pos="9360"/>
      </w:tabs>
    </w:pPr>
    <w:r>
      <w:rPr>
        <w:rFonts w:ascii="Arial" w:cs="Arial" w:eastAsia="Arial" w:hAnsi="Arial"/>
        <w:color w:val="595959"/>
        <w:sz w:val="18"/>
        <w:szCs w:val="18"/>
      </w:rPr>
      <w:t xml:space="preserve">CE903 Group Project 3  ·  Sprint 4 Plan &amp; Briefing</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D2E8" w:sz="6" w:space="4"/>
      </w:pBdr>
      <w:spacing w:after="14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4 Plan &amp; Briefing</dc:title>
  <dc:creator>CE903 Group 3</dc:creator>
  <cp:lastModifiedBy>Un-named</cp:lastModifiedBy>
  <cp:revision>1</cp:revision>
  <dcterms:created xsi:type="dcterms:W3CDTF">2026-06-01T08:52:30.775Z</dcterms:created>
  <dcterms:modified xsi:type="dcterms:W3CDTF">2026-06-01T08:52:30.791Z</dcterms:modified>
</cp:coreProperties>
</file>

<file path=docProps/custom.xml><?xml version="1.0" encoding="utf-8"?>
<Properties xmlns="http://schemas.openxmlformats.org/officeDocument/2006/custom-properties" xmlns:vt="http://schemas.openxmlformats.org/officeDocument/2006/docPropsVTypes"/>
</file>