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</w:rPr>
        <w:t xml:space="preserve">Sprint 3 </w:t>
      </w: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 xml:space="preserve">— </w:t>
      </w: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Pod C Deliverable</w:t>
      </w:r>
    </w:p>
    <w:p>
      <w:pPr>
        <w:pStyle w:val="Body"/>
      </w:pP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Finalise the failure parametrisation table (MTBE anchors)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Design the network-fault sensitivity sweep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three points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Propose the heartbeat detection timeout with justification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Tag cascade vs. isolated failure types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Finalised Failure Parametrisation Table</w:t>
      </w:r>
    </w:p>
    <w:p>
      <w:pPr>
        <w:pStyle w:val="Body"/>
      </w:pPr>
      <w:r>
        <w:rPr>
          <w:rtl w:val="0"/>
          <w:lang w:val="en-US"/>
        </w:rPr>
        <w:t>The table below consolidates all failure parameters extracted from the UIUC/IBM GPU resilience paper and the L4 paper. This is the authoritative reference for Sprint 4 failure injection. The three headline MTBE anchors confirmed by the Sprint 3 plan are: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Combined GPU hardware MTBE </w:t>
      </w:r>
      <w:r>
        <w:rPr>
          <w:rtl w:val="0"/>
        </w:rPr>
        <w:t xml:space="preserve">≈ </w:t>
      </w:r>
      <w:r>
        <w:rPr>
          <w:rtl w:val="0"/>
          <w:lang w:val="en-US"/>
        </w:rPr>
        <w:t>800 node-hrs (UIUC/IBM combined hardware errors)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NVLink MTBE: 28.28 node-hrs (XID 74)</w:t>
      </w:r>
    </w:p>
    <w:p>
      <w:pPr>
        <w:pStyle w:val="Body"/>
        <w:numPr>
          <w:ilvl w:val="0"/>
          <w:numId w:val="2"/>
        </w:numPr>
      </w:pPr>
      <w:r>
        <w:rPr>
          <w:rtl w:val="0"/>
        </w:rPr>
        <w:t xml:space="preserve">GSP MTBE: 39.55 node-hrs (XID 119)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highest priority to model (100% job failure probability)</w:t>
      </w:r>
    </w:p>
    <w:p>
      <w:pPr>
        <w:pStyle w:val="Body"/>
      </w:pP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73"/>
        <w:gridCol w:w="1460"/>
        <w:gridCol w:w="1215"/>
        <w:gridCol w:w="859"/>
        <w:gridCol w:w="1466"/>
        <w:gridCol w:w="1100"/>
        <w:gridCol w:w="1447"/>
      </w:tblGrid>
      <w:tr>
        <w:tblPrEx>
          <w:shd w:val="clear" w:color="auto" w:fill="156082"/>
        </w:tblPrEx>
        <w:trPr>
          <w:trHeight w:val="934" w:hRule="atLeast"/>
          <w:tblHeader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Failure Type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Category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MTBE (node-hrs)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Job Fail %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Cascades To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Type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Simulation Parameter</w:t>
            </w:r>
          </w:p>
        </w:tc>
      </w:tr>
      <w:tr>
        <w:tblPrEx>
          <w:shd w:val="clear" w:color="auto" w:fill="cad1d7"/>
        </w:tblPrEx>
        <w:trPr>
          <w:trHeight w:val="1907" w:hRule="atLeast"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GSP Error (XID 119)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Hardware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39.55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100%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GPU inoperable (99%), PMU SPI cascade (1%)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Full node reboot; inject 0.3</w:t>
            </w:r>
            <w:r>
              <w:rPr>
                <w:shd w:val="nil" w:color="auto" w:fill="auto"/>
                <w:rtl w:val="0"/>
                <w:lang w:val="en-US"/>
              </w:rPr>
              <w:t>–</w:t>
            </w:r>
            <w:r>
              <w:rPr>
                <w:shd w:val="nil" w:color="auto" w:fill="auto"/>
                <w:rtl w:val="0"/>
                <w:lang w:val="en-US"/>
              </w:rPr>
              <w:t>23 hr recovery window</w:t>
            </w:r>
          </w:p>
        </w:tc>
      </w:tr>
      <w:tr>
        <w:tblPrEx>
          <w:shd w:val="clear" w:color="auto" w:fill="cad1d7"/>
        </w:tblPrEx>
        <w:trPr>
          <w:trHeight w:val="1582" w:hRule="atLeast"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PMU SPI Error (XID 122)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Hardware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659.93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96.6%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MMU Error (82%), repeat PMU SPI (18%)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Trigger MMU cascade with 82% probability</w:t>
            </w:r>
          </w:p>
        </w:tc>
      </w:tr>
      <w:tr>
        <w:tblPrEx>
          <w:shd w:val="clear" w:color="auto" w:fill="cad1d7"/>
        </w:tblPrEx>
        <w:trPr>
          <w:trHeight w:val="1907" w:hRule="atLeast"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MMU Error (XID 31)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Hardware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4.48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58.7%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Job interrupt (37%) or GPU error state (62%)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Probabilistic job kill; 62% chance GPU needs reset</w:t>
            </w:r>
          </w:p>
        </w:tc>
      </w:tr>
      <w:tr>
        <w:tblPrEx>
          <w:shd w:val="clear" w:color="auto" w:fill="cad1d7"/>
        </w:tblPrEx>
        <w:trPr>
          <w:trHeight w:val="2231" w:hRule="atLeast"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NVLink Error (XID 74)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Interconnect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28.28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65.7%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Spreads to other GPUs (16%), GPU error state (20%)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Model as probabilistic inter-GPU propagation; 16% multi-GPU impact</w:t>
            </w:r>
          </w:p>
        </w:tc>
      </w:tr>
      <w:tr>
        <w:tblPrEx>
          <w:shd w:val="clear" w:color="auto" w:fill="cad1d7"/>
        </w:tblPrEx>
        <w:trPr>
          <w:trHeight w:val="1258" w:hRule="atLeast"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Uncontained ECC (XID 95)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Memory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2.17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97.2%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None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isolated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Isolated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High frequency; GPU reset required</w:t>
            </w:r>
          </w:p>
        </w:tc>
      </w:tr>
      <w:tr>
        <w:tblPrEx>
          <w:shd w:val="clear" w:color="auto" w:fill="cad1d7"/>
        </w:tblPrEx>
        <w:trPr>
          <w:trHeight w:val="2231" w:hRule="atLeast"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Network Fault (L4)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Network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Not quantified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most common hardware fault per L4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High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Performance degradation, hangs, crashes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Cascade possible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Model as link flap or NIC down event; rate to be swept</w:t>
            </w:r>
          </w:p>
        </w:tc>
      </w:tr>
      <w:tr>
        <w:tblPrEx>
          <w:shd w:val="clear" w:color="auto" w:fill="cad1d7"/>
        </w:tblPrEx>
        <w:trPr>
          <w:trHeight w:val="1611" w:hRule="atLeast"/>
        </w:trPr>
        <w:tc>
          <w:tcPr>
            <w:tcW w:type="dxa" w:w="147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Node Fault (L4)</w:t>
            </w:r>
          </w:p>
        </w:tc>
        <w:tc>
          <w:tcPr>
            <w:tcW w:type="dxa" w:w="146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System</w:t>
            </w:r>
          </w:p>
        </w:tc>
        <w:tc>
          <w:tcPr>
            <w:tcW w:type="dxa" w:w="121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Detected via heartbeat loss</w:t>
            </w:r>
          </w:p>
        </w:tc>
        <w:tc>
          <w:tcPr>
            <w:tcW w:type="dxa" w:w="85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Very high</w:t>
            </w:r>
          </w:p>
        </w:tc>
        <w:tc>
          <w:tcPr>
            <w:tcW w:type="dxa" w:w="146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Job crash on all GPUs on that node</w:t>
            </w:r>
          </w:p>
        </w:tc>
        <w:tc>
          <w:tcPr>
            <w:tcW w:type="dxa" w:w="10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144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Simulate heartbeat timeout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node removal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Key findings from Sprint 2 research relevant to parametrisation: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GPU memory is 30</w:t>
      </w:r>
      <w:r>
        <w:rPr>
          <w:rtl w:val="0"/>
        </w:rPr>
        <w:t xml:space="preserve">× </w:t>
      </w:r>
      <w:r>
        <w:rPr>
          <w:rtl w:val="0"/>
          <w:lang w:val="en-US"/>
        </w:rPr>
        <w:t xml:space="preserve">more resilient than GPU hardware (memory MTBE </w:t>
      </w:r>
      <w:r>
        <w:rPr>
          <w:rtl w:val="0"/>
        </w:rPr>
        <w:t xml:space="preserve">≈ </w:t>
      </w:r>
      <w:r>
        <w:rPr>
          <w:rtl w:val="0"/>
          <w:lang w:val="en-US"/>
        </w:rPr>
        <w:t xml:space="preserve">26,093 node-hrs combined vs hardware </w:t>
      </w:r>
      <w:r>
        <w:rPr>
          <w:rtl w:val="0"/>
        </w:rPr>
        <w:t xml:space="preserve">≈ </w:t>
      </w:r>
      <w:r>
        <w:rPr>
          <w:rtl w:val="0"/>
        </w:rPr>
        <w:t>800)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74.1% of real-world LLM training failures occur during the iterative training phase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the exact phase our simulation focuses on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91% of useful GPU computation lost comes from errors persisting beyond P95 duration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GSP errors correlate with demanding ML workloads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our LLM simulation may see higher GSP rates than the average MTBE suggests</w:t>
      </w: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Gaps noted (require team decision for Sprint 4):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Network fault rate: L4 identifies network faults as the most common hardware fault but gives no specific MTBE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to be addressed by the sensitivity sweep below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Node fault rate: described qualitatively in L4 but not quantified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heartbeat timeout threshold decided in Section 4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Storage fault rate: no rate given; likely out of scope since ASTRA-sim models compute and network, not storage</w:t>
      </w:r>
    </w:p>
    <w:p>
      <w:pPr>
        <w:pStyle w:val="Body"/>
        <w:rPr>
          <w:u w:val="single"/>
        </w:rPr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Network-Fault Sensitivity Sweep Design</w:t>
      </w:r>
    </w:p>
    <w:p>
      <w:pPr>
        <w:pStyle w:val="Body"/>
      </w:pPr>
      <w:r>
        <w:rPr>
          <w:rtl w:val="0"/>
          <w:lang w:val="en-US"/>
        </w:rPr>
        <w:t>The sensitivity sweep converts the missing network fault rate figure from L4 into a robustness result. Rather than treating the absence of a specific rate as a weakness, we test predictive routing's JCT advantage across three fault-rate scenarios. If the advantage holds across all three, the result demonstrates robustness rather than dependence on a single assumed parameter.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Rationale for Three-Point Design:-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Rare (~100 node-hrs): Well below any empirical failure rate from the literature; establishes that predictive routing helps even infrequent faults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Moderate (~50 node-hrs): Midpoint representing a realistic operational cluster under moderate stress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Aggressive (~25 node-hrs): Approximately matches the NVLink empirical MTBE (28.28 node-hrs); stress-tests the routing advantage under near-worst-case hardware conditions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Sensitivity-Sweep Grid:-</w:t>
      </w:r>
    </w:p>
    <w:tbl>
      <w:tblPr>
        <w:tblW w:w="902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48"/>
        <w:gridCol w:w="1572"/>
        <w:gridCol w:w="1836"/>
        <w:gridCol w:w="1727"/>
        <w:gridCol w:w="2237"/>
      </w:tblGrid>
      <w:tr>
        <w:tblPrEx>
          <w:shd w:val="clear" w:color="auto" w:fill="156082"/>
        </w:tblPrEx>
        <w:trPr>
          <w:trHeight w:val="934" w:hRule="atLeast"/>
          <w:tblHeader/>
        </w:trPr>
        <w:tc>
          <w:tcPr>
            <w:tcW w:type="dxa" w:w="1648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Sweep Point</w:t>
            </w:r>
          </w:p>
        </w:tc>
        <w:tc>
          <w:tcPr>
            <w:tcW w:type="dxa" w:w="157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MTBE</w:t>
            </w:r>
          </w:p>
        </w:tc>
        <w:tc>
          <w:tcPr>
            <w:tcW w:type="dxa" w:w="18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Failure Types Injected</w:t>
            </w:r>
          </w:p>
        </w:tc>
        <w:tc>
          <w:tcPr>
            <w:tcW w:type="dxa" w:w="172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Cascade Behaviour</w:t>
            </w:r>
          </w:p>
        </w:tc>
        <w:tc>
          <w:tcPr>
            <w:tcW w:type="dxa" w:w="22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Metrics to Report</w:t>
            </w:r>
          </w:p>
        </w:tc>
      </w:tr>
      <w:tr>
        <w:tblPrEx>
          <w:shd w:val="clear" w:color="auto" w:fill="cad1d7"/>
        </w:tblPrEx>
        <w:trPr>
          <w:trHeight w:val="2612" w:hRule="atLeast"/>
        </w:trPr>
        <w:tc>
          <w:tcPr>
            <w:tcW w:type="dxa" w:w="1648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Rare</w:t>
            </w:r>
          </w:p>
        </w:tc>
        <w:tc>
          <w:tcPr>
            <w:tcW w:type="dxa" w:w="157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~100 node-hrs</w:t>
            </w:r>
          </w:p>
        </w:tc>
        <w:tc>
          <w:tcPr>
            <w:tcW w:type="dxa" w:w="18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GSP, NVLink</w:t>
            </w:r>
          </w:p>
        </w:tc>
        <w:tc>
          <w:tcPr>
            <w:tcW w:type="dxa" w:w="172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GSP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GPU inoperable (99%); NVLink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multi-GPU spread (16%)</w:t>
            </w:r>
          </w:p>
        </w:tc>
        <w:tc>
          <w:tcPr>
            <w:tcW w:type="dxa" w:w="22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Baseline JCT recovery penalty; detection latency; % cluster affected</w:t>
            </w:r>
          </w:p>
        </w:tc>
      </w:tr>
      <w:tr>
        <w:tblPrEx>
          <w:shd w:val="clear" w:color="auto" w:fill="cad1d7"/>
        </w:tblPrEx>
        <w:trPr>
          <w:trHeight w:val="1935" w:hRule="atLeast"/>
        </w:trPr>
        <w:tc>
          <w:tcPr>
            <w:tcW w:type="dxa" w:w="1648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Moderate</w:t>
            </w:r>
          </w:p>
        </w:tc>
        <w:tc>
          <w:tcPr>
            <w:tcW w:type="dxa" w:w="157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~50 node-hrs</w:t>
            </w:r>
          </w:p>
        </w:tc>
        <w:tc>
          <w:tcPr>
            <w:tcW w:type="dxa" w:w="18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GSP, NVLink, MMU</w:t>
            </w:r>
          </w:p>
        </w:tc>
        <w:tc>
          <w:tcPr>
            <w:tcW w:type="dxa" w:w="172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Above + MMU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job interrupt (37%) or GPU error state (62%)</w:t>
            </w:r>
          </w:p>
        </w:tc>
        <w:tc>
          <w:tcPr>
            <w:tcW w:type="dxa" w:w="22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JCT recovery penalty; NCCL stall duration; node reboot frequency</w:t>
            </w:r>
          </w:p>
        </w:tc>
      </w:tr>
      <w:tr>
        <w:tblPrEx>
          <w:shd w:val="clear" w:color="auto" w:fill="cad1d7"/>
        </w:tblPrEx>
        <w:trPr>
          <w:trHeight w:val="1907" w:hRule="atLeast"/>
        </w:trPr>
        <w:tc>
          <w:tcPr>
            <w:tcW w:type="dxa" w:w="1648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Aggressive</w:t>
            </w:r>
          </w:p>
        </w:tc>
        <w:tc>
          <w:tcPr>
            <w:tcW w:type="dxa" w:w="157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~25 node-hrs (~NVLink frequency)</w:t>
            </w:r>
          </w:p>
        </w:tc>
        <w:tc>
          <w:tcPr>
            <w:tcW w:type="dxa" w:w="18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GSP, NVLink, MMU, Uncontained ECC, Network Fault</w:t>
            </w:r>
          </w:p>
        </w:tc>
        <w:tc>
          <w:tcPr>
            <w:tcW w:type="dxa" w:w="172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Full cascade chains including cross-GPU NVLink propagation</w:t>
            </w:r>
          </w:p>
        </w:tc>
        <w:tc>
          <w:tcPr>
            <w:tcW w:type="dxa" w:w="2236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JCT penalty under sustained failures; overprovisioning cost; routing benefit</w:t>
            </w:r>
          </w:p>
        </w:tc>
      </w:tr>
    </w:tbl>
    <w:p>
      <w:pPr>
        <w:pStyle w:val="Body"/>
        <w:widowControl w:val="0"/>
        <w:spacing w:line="240" w:lineRule="auto"/>
        <w:rPr>
          <w:rFonts w:ascii="Aptos" w:cs="Aptos" w:hAnsi="Aptos" w:eastAsia="Aptos"/>
          <w:b w:val="1"/>
          <w:bCs w:val="1"/>
          <w:u w:val="single"/>
        </w:rPr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Metrics Definitions:-</w:t>
      </w:r>
    </w:p>
    <w:p>
      <w:pPr>
        <w:pStyle w:val="Body"/>
      </w:pPr>
      <w:r>
        <w:rPr>
          <w:rtl w:val="0"/>
          <w:lang w:val="en-US"/>
        </w:rPr>
        <w:t>For each sweep point, the following metrics should be recorded and reported: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JCT Recovery Penalty: </w:t>
      </w:r>
      <w:r>
        <w:rPr>
          <w:rtl w:val="0"/>
          <w:lang w:val="en-US"/>
        </w:rPr>
        <w:t xml:space="preserve">Increase in job completion time caused by the failure event, measured as (JCT with failure) </w:t>
      </w:r>
      <w:r>
        <w:rPr>
          <w:rtl w:val="0"/>
        </w:rPr>
        <w:t xml:space="preserve">− </w:t>
      </w:r>
      <w:r>
        <w:rPr>
          <w:rtl w:val="0"/>
          <w:lang w:val="en-US"/>
        </w:rPr>
        <w:t>(JCT baseline). Primary metric for TC-03 and TC-04.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NCCL Stall Duration: </w:t>
      </w:r>
      <w:r>
        <w:rPr>
          <w:rtl w:val="0"/>
          <w:lang w:val="en-US"/>
        </w:rPr>
        <w:t>Time elapsed between a GPU failure and the NCCL timeout/stall detection event. Verifies FR-N2.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Cluster Affected %: </w:t>
      </w:r>
      <w:r>
        <w:rPr>
          <w:rtl w:val="0"/>
          <w:lang w:val="en-US"/>
        </w:rPr>
        <w:t>Proportion of nodes experiencing degraded or failed state at peak failure propagation. Tracks cascade scope.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Node Reboot Frequency: </w:t>
      </w:r>
      <w:r>
        <w:rPr>
          <w:rtl w:val="0"/>
          <w:lang w:val="en-US"/>
        </w:rPr>
        <w:t>How often the simulated cluster triggers node removal/reboot events per training epoch. Informs overprovisioning estimates.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Routing Benefit (Sprint 4/5): </w:t>
      </w:r>
      <w:r>
        <w:rPr>
          <w:rtl w:val="0"/>
          <w:lang w:val="en-US"/>
        </w:rPr>
        <w:t>Difference in JCT recovery penalty between ECMP and predictive scheduler under the same fault point. The headline figure for TC-04.</w:t>
      </w: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i w:val="1"/>
          <w:iCs w:val="1"/>
          <w:rtl w:val="0"/>
          <w:lang w:val="en-US"/>
        </w:rPr>
        <w:t>Note: Metrics defined here so Sprint 4 can wire up the logging before injection begins. Collecting these fields from the start avoids retrofitting instrumentation after the fact.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Heartbeat Detection Timeout Proposal</w:t>
      </w:r>
    </w:p>
    <w:p>
      <w:pPr>
        <w:pStyle w:val="Body"/>
      </w:pPr>
      <w:r>
        <w:rPr>
          <w:rtl w:val="0"/>
          <w:lang w:val="en-US"/>
        </w:rPr>
        <w:t>The heartbeat timeout determines how quickly the simulation declares a node dead after it stops responding. This is a design decision that significantly affects both the JCT recovery penalty measurement and the false-positive rate of node removal.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Proposed Value: ~30 seconds:-</w:t>
      </w:r>
    </w:p>
    <w:p>
      <w:pPr>
        <w:pStyle w:val="Body"/>
      </w:pPr>
      <w:r>
        <w:rPr>
          <w:rtl w:val="0"/>
          <w:lang w:val="en-US"/>
        </w:rPr>
        <w:t>Justification: MegaScale (NSDI '24) uses real-time heartbeat detection as a core component of its failure recovery pipeline. The 30-second window is consistent with production LLM training deployments and represents a balance between detection speed and tolerance for transient NCCL delays.</w:t>
      </w:r>
    </w:p>
    <w:p>
      <w:pPr>
        <w:pStyle w:val="Body"/>
      </w:pPr>
    </w:p>
    <w:tbl>
      <w:tblPr>
        <w:tblW w:w="77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499"/>
        <w:gridCol w:w="2191"/>
        <w:gridCol w:w="2196"/>
        <w:gridCol w:w="1874"/>
      </w:tblGrid>
      <w:tr>
        <w:tblPrEx>
          <w:shd w:val="clear" w:color="auto" w:fill="156082"/>
        </w:tblPrEx>
        <w:trPr>
          <w:trHeight w:val="285" w:hRule="atLeast"/>
          <w:tblHeader/>
        </w:trPr>
        <w:tc>
          <w:tcPr>
            <w:tcW w:type="dxa" w:w="14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Timeout</w:t>
            </w:r>
          </w:p>
        </w:tc>
        <w:tc>
          <w:tcPr>
            <w:tcW w:type="dxa" w:w="219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Advantage</w:t>
            </w:r>
          </w:p>
        </w:tc>
        <w:tc>
          <w:tcPr>
            <w:tcW w:type="dxa" w:w="219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Disadvantage</w:t>
            </w:r>
          </w:p>
        </w:tc>
        <w:tc>
          <w:tcPr>
            <w:tcW w:type="dxa" w:w="1874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Assessment</w:t>
            </w:r>
          </w:p>
        </w:tc>
      </w:tr>
      <w:tr>
        <w:tblPrEx>
          <w:shd w:val="clear" w:color="auto" w:fill="cad1d7"/>
        </w:tblPrEx>
        <w:trPr>
          <w:trHeight w:val="1258" w:hRule="atLeast"/>
        </w:trPr>
        <w:tc>
          <w:tcPr>
            <w:tcW w:type="dxa" w:w="14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10s</w:t>
            </w:r>
          </w:p>
        </w:tc>
        <w:tc>
          <w:tcPr>
            <w:tcW w:type="dxa" w:w="219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Very fast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catches transient stalls immediately</w:t>
            </w:r>
          </w:p>
        </w:tc>
        <w:tc>
          <w:tcPr>
            <w:tcW w:type="dxa" w:w="219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High false-positive rate; brief NCCL delays flagged as dead nodes</w:t>
            </w:r>
          </w:p>
        </w:tc>
        <w:tc>
          <w:tcPr>
            <w:tcW w:type="dxa" w:w="1874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Too aggressive for LLM training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likely impractical</w:t>
            </w:r>
          </w:p>
        </w:tc>
      </w:tr>
      <w:tr>
        <w:tblPrEx>
          <w:shd w:val="clear" w:color="auto" w:fill="cad1d7"/>
        </w:tblPrEx>
        <w:trPr>
          <w:trHeight w:val="1907" w:hRule="atLeast"/>
        </w:trPr>
        <w:tc>
          <w:tcPr>
            <w:tcW w:type="dxa" w:w="14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30s (proposed)</w:t>
            </w:r>
          </w:p>
        </w:tc>
        <w:tc>
          <w:tcPr>
            <w:tcW w:type="dxa" w:w="219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Matches MegaScale real-time heartbeat detection practice</w:t>
            </w:r>
          </w:p>
        </w:tc>
        <w:tc>
          <w:tcPr>
            <w:tcW w:type="dxa" w:w="219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Balanced; allows brief stalls to self-resolve before node removal</w:t>
            </w:r>
          </w:p>
        </w:tc>
        <w:tc>
          <w:tcPr>
            <w:tcW w:type="dxa" w:w="1874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Recommended default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justified by production deployment data</w:t>
            </w:r>
          </w:p>
        </w:tc>
      </w:tr>
      <w:tr>
        <w:tblPrEx>
          <w:shd w:val="clear" w:color="auto" w:fill="cad1d7"/>
        </w:tblPrEx>
        <w:trPr>
          <w:trHeight w:val="1582" w:hRule="atLeast"/>
        </w:trPr>
        <w:tc>
          <w:tcPr>
            <w:tcW w:type="dxa" w:w="1499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60s</w:t>
            </w:r>
          </w:p>
        </w:tc>
        <w:tc>
          <w:tcPr>
            <w:tcW w:type="dxa" w:w="2191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Very tolerant of transient delays</w:t>
            </w:r>
          </w:p>
        </w:tc>
        <w:tc>
          <w:tcPr>
            <w:tcW w:type="dxa" w:w="2195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Up to 1 minute of wasted compute on a dead node per detection cycle</w:t>
            </w:r>
          </w:p>
        </w:tc>
        <w:tc>
          <w:tcPr>
            <w:tcW w:type="dxa" w:w="1874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Too lenient; cost model shows significant compute waste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Optional: Sweep the Timeout:-</w:t>
      </w:r>
    </w:p>
    <w:p>
      <w:pPr>
        <w:pStyle w:val="Body"/>
      </w:pPr>
      <w:r>
        <w:rPr>
          <w:rtl w:val="0"/>
          <w:lang w:val="en-US"/>
        </w:rPr>
        <w:t>If time permits in Sprint 4, the timeout itself can be swept across 10s / 30s / 60s as a secondary parameter. This turns it into a secondary robustness dimension: we can show that the JCT recovery penalty metric is not sensitive to the exact timeout chosen, which strengthens the evaluation's credibility.</w:t>
      </w: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Trade-off to name explicitly in the report: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Too short (10s): flags transient NCCL stalls as node deaths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inflated node-removal frequency </w:t>
      </w:r>
      <w:r>
        <w:rPr>
          <w:rtl w:val="0"/>
        </w:rPr>
        <w:t xml:space="preserve">→ </w:t>
      </w:r>
      <w:r>
        <w:rPr>
          <w:rtl w:val="0"/>
          <w:lang w:val="en-US"/>
        </w:rPr>
        <w:t>distorted JCT penalty measurements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 xml:space="preserve">Too long (60s): burns significant compute time on a dead node before detection </w:t>
      </w:r>
      <w:r>
        <w:rPr>
          <w:rtl w:val="0"/>
        </w:rPr>
        <w:t xml:space="preserve">→ </w:t>
      </w:r>
      <w:r>
        <w:rPr>
          <w:rtl w:val="0"/>
          <w:lang w:val="en-US"/>
        </w:rPr>
        <w:t>understates the true JCT cost of failures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30s: production-justified middle ground, directly citable from MegaScale deployment logs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Cascade vs. Isolated Failure Classification</w:t>
      </w:r>
    </w:p>
    <w:p>
      <w:pPr>
        <w:pStyle w:val="Body"/>
      </w:pPr>
      <w:r>
        <w:rPr>
          <w:rtl w:val="0"/>
          <w:lang w:val="en-US"/>
        </w:rPr>
        <w:t>Sprint 4's failure injection needs to know which failures propagate and which stay contained. This classification determines whether a single fault event needs to trigger a chain reaction in the simulator, or whether it can be treated as a single-GPU event.</w:t>
      </w:r>
    </w:p>
    <w:p>
      <w:pPr>
        <w:pStyle w:val="Body"/>
      </w:pPr>
    </w:p>
    <w:tbl>
      <w:tblPr>
        <w:tblW w:w="8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622"/>
        <w:gridCol w:w="1363"/>
        <w:gridCol w:w="2068"/>
        <w:gridCol w:w="1827"/>
        <w:gridCol w:w="1480"/>
      </w:tblGrid>
      <w:tr>
        <w:tblPrEx>
          <w:shd w:val="clear" w:color="auto" w:fill="156082"/>
        </w:tblPrEx>
        <w:trPr>
          <w:trHeight w:val="609" w:hRule="atLeast"/>
          <w:tblHeader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Failure Type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Cascade / Isolated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Propagation Chain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Cluster Impact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1f386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Priority to Model</w:t>
            </w:r>
          </w:p>
        </w:tc>
      </w:tr>
      <w:tr>
        <w:tblPrEx>
          <w:shd w:val="clear" w:color="auto" w:fill="cad1d7"/>
        </w:tblPrEx>
        <w:trPr>
          <w:trHeight w:val="1668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GSP Error (XID 119)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GSP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GPU inoperable (99%, 0.2s)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full node reboot; GSP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PMU SPI (1%)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Single node removed; entire job on that node fails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HIGH</w:t>
            </w:r>
          </w:p>
        </w:tc>
      </w:tr>
      <w:tr>
        <w:tblPrEx>
          <w:shd w:val="clear" w:color="auto" w:fill="cad1d7"/>
        </w:tblPrEx>
        <w:trPr>
          <w:trHeight w:val="1964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PMU SPI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MMU Error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PMU SPI (1%)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MMU Error (82%, 0.05s)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GPU error state (62%) or job interrupt (37%)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Probabilistic multi-failure chain within single node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MEDIUM</w:t>
            </w:r>
          </w:p>
        </w:tc>
      </w:tr>
      <w:tr>
        <w:tblPrEx>
          <w:shd w:val="clear" w:color="auto" w:fill="cad1d7"/>
        </w:tblPrEx>
        <w:trPr>
          <w:trHeight w:val="2937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NVLink Error (XID 74)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CASCADE (partial)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NVLink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another NVLink (66%, 0.1s); NVLink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neighbouring GPUs (14%); 16% multi-GPU, 5% affect 4+ GPUs same node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Usually contained (84% single GPU); occasionally node-wide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MEDIUM</w:t>
            </w:r>
          </w:p>
        </w:tc>
      </w:tr>
      <w:tr>
        <w:tblPrEx>
          <w:shd w:val="clear" w:color="auto" w:fill="cad1d7"/>
        </w:tblPrEx>
        <w:trPr>
          <w:trHeight w:val="2316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Network Fault (L4)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CASCADE (possible)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NIC link down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performance degradation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hangs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full crash (escalation path, no fixed probability)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Range: mild slowdown to full job crash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MEDIUM</w:t>
            </w:r>
          </w:p>
        </w:tc>
      </w:tr>
      <w:tr>
        <w:tblPrEx>
          <w:shd w:val="clear" w:color="auto" w:fill="cad1d7"/>
        </w:tblPrEx>
        <w:trPr>
          <w:trHeight w:val="1964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Node Fault (L4)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ce4d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CASCADE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Heartbeat loss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 xml:space="preserve">all GPUs on node affected </w:t>
            </w:r>
            <w:r>
              <w:rPr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shd w:val="nil" w:color="auto" w:fill="auto"/>
                <w:rtl w:val="0"/>
                <w:lang w:val="en-US"/>
              </w:rPr>
              <w:t>job crash for all workers on that node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Entire node's contribution to the training job lost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HIGH</w:t>
            </w:r>
          </w:p>
        </w:tc>
      </w:tr>
      <w:tr>
        <w:tblPrEx>
          <w:shd w:val="clear" w:color="auto" w:fill="cad1d7"/>
        </w:tblPrEx>
        <w:trPr>
          <w:trHeight w:val="1582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Uncontained ECC (XID 95)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ISOLATED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None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stays on originating GPU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Single GPU reset; high frequency (MTBE 2.17 hrs)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LOW</w:t>
            </w:r>
          </w:p>
        </w:tc>
      </w:tr>
      <w:tr>
        <w:tblPrEx>
          <w:shd w:val="clear" w:color="auto" w:fill="cad1d7"/>
        </w:tblPrEx>
        <w:trPr>
          <w:trHeight w:val="1258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Row Remapping Failure (XID 64)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ISOLATED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None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stays on originating GPU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Single GPU; 100% job failure but no propagation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bf3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LOW</w:t>
            </w:r>
          </w:p>
        </w:tc>
      </w:tr>
      <w:tr>
        <w:tblPrEx>
          <w:shd w:val="clear" w:color="auto" w:fill="cad1d7"/>
        </w:tblPrEx>
        <w:trPr>
          <w:trHeight w:val="1258" w:hRule="atLeast"/>
        </w:trPr>
        <w:tc>
          <w:tcPr>
            <w:tcW w:type="dxa" w:w="1622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Double Bit ECC (XID 48)</w:t>
            </w:r>
          </w:p>
        </w:tc>
        <w:tc>
          <w:tcPr>
            <w:tcW w:type="dxa" w:w="1363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e2efda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ISOLATED</w:t>
            </w:r>
          </w:p>
        </w:tc>
        <w:tc>
          <w:tcPr>
            <w:tcW w:type="dxa" w:w="206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 xml:space="preserve">None </w:t>
            </w:r>
            <w:r>
              <w:rPr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hd w:val="nil" w:color="auto" w:fill="auto"/>
                <w:rtl w:val="0"/>
                <w:lang w:val="en-US"/>
              </w:rPr>
              <w:t>stays on originating GPU</w:t>
            </w:r>
          </w:p>
        </w:tc>
        <w:tc>
          <w:tcPr>
            <w:tcW w:type="dxa" w:w="1827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Single GPU reset; 90% job failure, no propagation</w:t>
            </w:r>
          </w:p>
        </w:tc>
        <w:tc>
          <w:tcPr>
            <w:tcW w:type="dxa" w:w="1480"/>
            <w:tcBorders>
              <w:top w:val="single" w:color="cccccc" w:sz="2" w:space="0" w:shadow="0" w:frame="0"/>
              <w:left w:val="single" w:color="cccccc" w:sz="2" w:space="0" w:shadow="0" w:frame="0"/>
              <w:bottom w:val="single" w:color="cccccc" w:sz="2" w:space="0" w:shadow="0" w:frame="0"/>
              <w:right w:val="single" w:color="cccccc" w:sz="2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Aptos" w:cs="Aptos" w:hAnsi="Aptos" w:eastAsia="Aptos"/>
                <w:b w:val="1"/>
                <w:bCs w:val="1"/>
                <w:shd w:val="nil" w:color="auto" w:fill="auto"/>
                <w:rtl w:val="0"/>
                <w:lang w:val="en-US"/>
              </w:rPr>
              <w:t>LOW</w:t>
            </w:r>
          </w:p>
        </w:tc>
      </w:tr>
    </w:tbl>
    <w:p>
      <w:pPr>
        <w:pStyle w:val="Body"/>
        <w:widowControl w:val="0"/>
        <w:spacing w:line="240" w:lineRule="auto"/>
      </w:pP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  <w:u w:val="single"/>
        </w:rPr>
      </w:pPr>
      <w:r>
        <w:rPr>
          <w:rFonts w:ascii="Aptos" w:cs="Aptos" w:hAnsi="Aptos" w:eastAsia="Aptos"/>
          <w:b w:val="1"/>
          <w:bCs w:val="1"/>
          <w:u w:val="single"/>
          <w:rtl w:val="0"/>
          <w:lang w:val="en-US"/>
        </w:rPr>
        <w:t>Implications for Sprint 4 Injection Design:-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Cascade failures (GSP, Node): </w:t>
      </w:r>
      <w:r>
        <w:rPr>
          <w:rtl w:val="0"/>
          <w:lang w:val="en-US"/>
        </w:rPr>
        <w:t xml:space="preserve">Require a multi-step injection sequence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trigger the initial fault, then apply the cascade outcome probabilistically. The simulator must support sequential fault injection within a single time window.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Partial cascade (NVLink, Network): </w:t>
      </w:r>
      <w:r>
        <w:rPr>
          <w:rtl w:val="0"/>
          <w:lang w:val="en-US"/>
        </w:rPr>
        <w:t xml:space="preserve">Inject with a probabilistic spread parameter. Model as: inject primary fault </w:t>
      </w:r>
      <w:r>
        <w:rPr>
          <w:rtl w:val="0"/>
        </w:rPr>
        <w:t xml:space="preserve">→ </w:t>
      </w:r>
      <w:r>
        <w:rPr>
          <w:rtl w:val="0"/>
          <w:lang w:val="en-US"/>
        </w:rPr>
        <w:t xml:space="preserve">roll probability </w:t>
      </w:r>
      <w:r>
        <w:rPr>
          <w:rtl w:val="0"/>
        </w:rPr>
        <w:t xml:space="preserve">→ </w:t>
      </w:r>
      <w:r>
        <w:rPr>
          <w:rtl w:val="0"/>
          <w:lang w:val="en-US"/>
        </w:rPr>
        <w:t>if cascade triggered, inject secondary fault on neighbouring GPU/link.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Isolated failures (ECC, Row Remapping): </w:t>
      </w:r>
      <w:r>
        <w:rPr>
          <w:rtl w:val="0"/>
          <w:lang w:val="en-US"/>
        </w:rPr>
        <w:t xml:space="preserve">Simple single-GPU injection. High frequency means these should be the most common events in the simulation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inject them at the empirical MTBE rate and let them accumulate.</w:t>
      </w:r>
    </w:p>
    <w:p>
      <w:pPr>
        <w:pStyle w:val="Body"/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GSP is the highest-priority type to model correctly: 100% job failure probability + 99% cascade probability + potential 23-hour recovery time makes it the most disruptive single failure type in the literature.</w:t>
      </w: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