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8C" w:sz="6" w:space="6"/>
        </w:pBdr>
        <w:spacing w:after="40"/>
      </w:pPr>
      <w:r>
        <w:rPr>
          <w:b/>
          <w:bCs/>
          <w:color w:val="1F2937"/>
          <w:sz w:val="40"/>
          <w:szCs w:val="40"/>
        </w:rPr>
        <w:t xml:space="preserve">Sprint 3 — Plan &amp; Team Briefing</w:t>
      </w:r>
    </w:p>
    <w:p>
      <w:pPr>
        <w:spacing w:after="20" w:before="80"/>
      </w:pPr>
      <w:r>
        <w:rPr>
          <w:b/>
          <w:bCs/>
          <w:color w:val="2E5A8C"/>
          <w:sz w:val="22"/>
          <w:szCs w:val="22"/>
        </w:rPr>
        <w:t xml:space="preserve">CE903 Group Project 3 · Managing Network for LLM Training</w:t>
      </w:r>
    </w:p>
    <w:p>
      <w:pPr>
        <w:spacing w:after="240"/>
      </w:pPr>
      <w:r>
        <w:rPr>
          <w:i/>
          <w:iCs/>
          <w:color w:val="6B7785"/>
          <w:sz w:val="19"/>
          <w:szCs w:val="19"/>
        </w:rPr>
        <w:t xml:space="preserve">Week of 26 May 2026  ·  Scrumban one-week iteration  ·  Six-person team (five specialist lanes + coordination)</w:t>
      </w:r>
    </w:p>
    <w:p>
      <w:pPr>
        <w:spacing w:after="140" w:before="0"/>
      </w:pPr>
      <w:r>
        <w:rPr>
          <w:b/>
          <w:bCs/>
          <w:i w:val="false"/>
          <w:iCs w:val="false"/>
        </w:rPr>
        <w:t xml:space="preserve">Where we are. </w:t>
      </w:r>
      <w:r>
        <w:t xml:space="preserve">Sprint 2 put working foundations in place across our roles — a profiling pipeline, a built ASTRA-sim, a Chakra trace inspection, a parallelism-to-collective mapping, and a grounded failure parameter set. Those pieces are deliberately still separate. Sprint 3 is where they connect. Rather than run five parallel lanes to the end, we reorganise into three pods so the work integrates as it is built.</w:t>
      </w:r>
    </w:p>
    <w:p>
      <w:pPr>
        <w:spacing w:after="140" w:before="0"/>
      </w:pPr>
      <w:r>
        <w:rPr>
          <w:b/>
          <w:bCs/>
          <w:i w:val="false"/>
          <w:iCs w:val="false"/>
        </w:rPr>
        <w:t xml:space="preserve">One thing is now settled. </w:t>
      </w:r>
      <w:r>
        <w:t xml:space="preserve">Following the supervisor's steer, we will </w:t>
      </w:r>
      <w:r>
        <w:rPr>
          <w:b/>
          <w:bCs/>
          <w:i w:val="false"/>
          <w:iCs w:val="false"/>
        </w:rPr>
        <w:t xml:space="preserve">synthesise collective-communication events analytically</w:t>
      </w:r>
      <w:r>
        <w:t xml:space="preserve"> rather than stand up a live multi-GPU cluster. This fits our resource scope, makes GPU access non-blocking, and is fully defensible in the report as a deliberate, scope-appropriate methodology — not a workaround.</w:t>
      </w:r>
    </w:p>
    <w:p>
      <w:pPr>
        <w:pBdr>
          <w:left w:val="single" w:color="2E5A8C" w:sz="18" w:space="10"/>
        </w:pBdr>
        <w:shd w:fill="EAF1F8" w:val="clear"/>
        <w:spacing w:after="160" w:before="80"/>
        <w:ind w:left="180" w:right="120"/>
      </w:pPr>
      <w:r>
        <w:rPr>
          <w:b/>
          <w:bCs/>
          <w:color w:val="2E5A8C"/>
        </w:rPr>
        <w:t xml:space="preserve">Confirmed approach —  </w:t>
      </w:r>
      <w:r>
        <w:t xml:space="preserve">collectives are inserted into the trace from the NCCL mapping and model sizes; no live cluster is required to produce, validate, or evaluate the pipeline. A borrowed 2-GPU box can later confirm our analytic sizes against reality if we choose, but nothing this sprint depends on it.</w:t>
      </w:r>
    </w:p>
    <w:p>
      <w:pPr>
        <w:pStyle w:val="Heading1"/>
        <w:spacing w:after="120" w:before="320"/>
      </w:pPr>
      <w:r>
        <w:t xml:space="preserve">Sprint 3 at a glance</w:t>
      </w:r>
    </w:p>
    <w:p>
      <w:pPr>
        <w:spacing w:after="140" w:before="0"/>
      </w:pPr>
      <w:r>
        <w:t xml:space="preserve">Three pods, each owning an integrated outcome rather than an isolated artefact:</w:t>
      </w:r>
    </w:p>
    <w:p>
      <w:pPr>
        <w:pStyle w:val="ListParagraph"/>
        <w:numPr>
          <w:ilvl w:val="0"/>
          <w:numId w:val="2"/>
        </w:numPr>
        <w:spacing w:after="80"/>
      </w:pPr>
      <w:r>
        <w:rPr>
          <w:b/>
          <w:bCs/>
          <w:i w:val="false"/>
          <w:iCs w:val="false"/>
        </w:rPr>
        <w:t xml:space="preserve">Pod A — The Pipeline. </w:t>
      </w:r>
      <w:r>
        <w:t xml:space="preserve">Turn the separate trace and simulator into one working trace-to-sim path. </w:t>
      </w:r>
      <w:r>
        <w:rPr>
          <w:b w:val="false"/>
          <w:bCs w:val="false"/>
          <w:i/>
          <w:iCs/>
          <w:color w:val="6B7785"/>
        </w:rPr>
        <w:t xml:space="preserve">(Roshan leads · Tae)</w:t>
      </w:r>
    </w:p>
    <w:p>
      <w:pPr>
        <w:pStyle w:val="ListParagraph"/>
        <w:numPr>
          <w:ilvl w:val="0"/>
          <w:numId w:val="2"/>
        </w:numPr>
        <w:spacing w:after="80"/>
      </w:pPr>
      <w:r>
        <w:rPr>
          <w:b/>
          <w:bCs/>
          <w:i w:val="false"/>
          <w:iCs w:val="false"/>
        </w:rPr>
        <w:t xml:space="preserve">Pod B — The Traffic. </w:t>
      </w:r>
      <w:r>
        <w:t xml:space="preserve">Stamp realistic NCCL collectives into that trace and validate the baseline curves. </w:t>
      </w:r>
      <w:r>
        <w:rPr>
          <w:b w:val="false"/>
          <w:bCs w:val="false"/>
          <w:i/>
          <w:iCs/>
          <w:color w:val="6B7785"/>
        </w:rPr>
        <w:t xml:space="preserve">(Tae leads · Ashraf · Kyle)</w:t>
      </w:r>
    </w:p>
    <w:p>
      <w:pPr>
        <w:pStyle w:val="ListParagraph"/>
        <w:numPr>
          <w:ilvl w:val="0"/>
          <w:numId w:val="2"/>
        </w:numPr>
        <w:spacing w:after="80"/>
      </w:pPr>
      <w:r>
        <w:rPr>
          <w:b/>
          <w:bCs/>
          <w:i w:val="false"/>
          <w:iCs w:val="false"/>
        </w:rPr>
        <w:t xml:space="preserve">Pod C — The Failures. </w:t>
      </w:r>
      <w:r>
        <w:t xml:space="preserve">Design the failure parametrisation and sensitivity sweep that Sprint 4 will inject. </w:t>
      </w:r>
      <w:r>
        <w:rPr>
          <w:b w:val="false"/>
          <w:bCs w:val="false"/>
          <w:i/>
          <w:iCs/>
          <w:color w:val="6B7785"/>
        </w:rPr>
        <w:t xml:space="preserve">(Navami)</w:t>
      </w:r>
    </w:p>
    <w:p>
      <w:pPr>
        <w:pStyle w:val="Heading1"/>
        <w:spacing w:after="120" w:before="320"/>
      </w:pPr>
      <w:r>
        <w:t xml:space="preserve">Pod A — The Pipeline</w:t>
      </w:r>
    </w:p>
    <w:p>
      <w:pPr>
        <w:spacing w:after="120"/>
      </w:pPr>
      <w:r>
        <w:rPr>
          <w:i/>
          <w:iCs/>
          <w:color w:val="6B7785"/>
          <w:sz w:val="19"/>
          <w:szCs w:val="19"/>
        </w:rPr>
        <w:t xml:space="preserve">Roshan (R3 · Chakra &amp; Trace) — pod lead  ·  Tae (R2 · Tech Lead, ASTRA-sim)  ·  input: Kyle's profiler trace</w:t>
      </w:r>
    </w:p>
    <w:p>
      <w:pPr>
        <w:spacing w:after="140" w:before="0"/>
      </w:pPr>
      <w:r>
        <w:rPr>
          <w:b/>
          <w:bCs/>
          <w:i w:val="false"/>
          <w:iCs w:val="false"/>
        </w:rPr>
        <w:t xml:space="preserve">How it feeds the bigger picture. </w:t>
      </w:r>
      <w:r>
        <w:t xml:space="preserve">This pod is the spine. Every later comparison — ECMP versus predictive routing, every JCT claim — runs on this pipeline. Once a profiler trace can become a Chakra .et file that ASTRA-sim executes end-to-end, the project has a working instrument; everything else is experiments on top of it.</w:t>
      </w:r>
    </w:p>
    <w:p>
      <w:pPr>
        <w:pStyle w:val="ListParagraph"/>
        <w:numPr>
          <w:ilvl w:val="0"/>
          <w:numId w:val="2"/>
        </w:numPr>
        <w:spacing w:after="80"/>
      </w:pPr>
      <w:r>
        <w:rPr>
          <w:b/>
          <w:bCs/>
          <w:i w:val="false"/>
          <w:iCs w:val="false"/>
        </w:rPr>
        <w:t xml:space="preserve">Roshan (lead): </w:t>
      </w:r>
      <w:r>
        <w:t xml:space="preserve">convert the profiler trace from Kyle's Sprint 2 metrics pipeline into a valid Chakra .et trace; confirm ASTRA-sim ingests it without errors.</w:t>
      </w:r>
    </w:p>
    <w:p>
      <w:pPr>
        <w:pStyle w:val="ListParagraph"/>
        <w:numPr>
          <w:ilvl w:val="0"/>
          <w:numId w:val="2"/>
        </w:numPr>
        <w:spacing w:after="80"/>
      </w:pPr>
      <w:r>
        <w:rPr>
          <w:b/>
          <w:bCs/>
          <w:i w:val="false"/>
          <w:iCs w:val="false"/>
        </w:rPr>
        <w:t xml:space="preserve">Tae: </w:t>
      </w:r>
      <w:r>
        <w:t xml:space="preserve">run the ingested trace end-to-end on a simple analytical topology; record baseline JCT, communication time, and link utilisation.</w:t>
      </w:r>
    </w:p>
    <w:p>
      <w:pPr>
        <w:pStyle w:val="ListParagraph"/>
        <w:numPr>
          <w:ilvl w:val="0"/>
          <w:numId w:val="2"/>
        </w:numPr>
        <w:spacing w:after="80"/>
      </w:pPr>
      <w:r>
        <w:rPr>
          <w:b/>
          <w:bCs/>
          <w:i w:val="false"/>
          <w:iCs w:val="false"/>
        </w:rPr>
        <w:t xml:space="preserve">Both: </w:t>
      </w:r>
      <w:r>
        <w:t xml:space="preserve">build against the integration contract below. The trace's field schema is the interface — coordination lives in the document, not a verbal agreement.</w:t>
      </w:r>
    </w:p>
    <w:p>
      <w:pPr>
        <w:pStyle w:val="ListParagraph"/>
        <w:numPr>
          <w:ilvl w:val="0"/>
          <w:numId w:val="2"/>
        </w:numPr>
        <w:spacing w:after="80"/>
      </w:pPr>
      <w:r>
        <w:rPr>
          <w:b/>
          <w:bCs/>
          <w:i w:val="false"/>
          <w:iCs w:val="false"/>
        </w:rPr>
        <w:t xml:space="preserve">Input — Kyle: </w:t>
      </w:r>
      <w:r>
        <w:t xml:space="preserve">supplies the steady-state profiler trace (step-0 spike excluded) for GPT-2 124M as the pipeline's input; his Sprint 3 working seat is in Pod B.</w:t>
      </w:r>
    </w:p>
    <w:p>
      <w:pPr>
        <w:pBdr>
          <w:left w:val="single" w:color="C8893A" w:sz="18" w:space="10"/>
        </w:pBdr>
        <w:shd w:fill="FBF3E8" w:val="clear"/>
        <w:spacing w:after="160" w:before="80"/>
        <w:ind w:left="180" w:right="120"/>
      </w:pPr>
      <w:r>
        <w:rPr>
          <w:b/>
          <w:bCs/>
          <w:color w:val="9A6722"/>
        </w:rPr>
        <w:t xml:space="preserve">Sprint goal —  </w:t>
      </w:r>
      <w:r>
        <w:rPr>
          <w:b/>
          <w:bCs/>
          <w:i w:val="false"/>
          <w:iCs w:val="false"/>
        </w:rPr>
        <w:t xml:space="preserve">TC-01 closes</w:t>
      </w:r>
      <w:r>
        <w:t xml:space="preserve"> — a single training job runs to completion through the full trace-to-sim pipeline with metrics recorded correctly. This is our documented Sprint 2 carry-over; it either closes or it doesn't.</w:t>
      </w:r>
    </w:p>
    <w:p>
      <w:pPr>
        <w:spacing w:after="80" w:before="60"/>
      </w:pPr>
      <w:r>
        <w:rPr>
          <w:b/>
          <w:bCs/>
          <w:i w:val="false"/>
          <w:iCs w:val="false"/>
          <w:color w:val="2E5A8C"/>
        </w:rPr>
        <w:t xml:space="preserve">Integration contract — the .et trace field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560"/>
      </w:tblGrid>
      <w:tr>
        <w:tc>
          <w:tcPr>
            <w:tcW w:type="dxa" w:w="2700"/>
            <w:tcBorders>
              <w:top w:val="single" w:color="D6DEE7" w:sz="1"/>
              <w:left w:val="single" w:color="D6DEE7" w:sz="1"/>
              <w:bottom w:val="single" w:color="D6DEE7" w:sz="1"/>
              <w:right w:val="single" w:color="D6DEE7" w:sz="1"/>
            </w:tcBorders>
            <w:shd w:fill="EAF1F8" w:val="clear"/>
            <w:tcMar>
              <w:top w:type="dxa" w:w="70"/>
              <w:left w:type="dxa" w:w="120"/>
              <w:bottom w:type="dxa" w:w="70"/>
              <w:right w:type="dxa" w:w="120"/>
            </w:tcMar>
            <w:vAlign w:val="center"/>
          </w:tcPr>
          <w:p>
            <w:pPr>
              <w:spacing w:after="0"/>
            </w:pPr>
            <w:r>
              <w:rPr>
                <w:b/>
                <w:bCs/>
                <w:color w:val="1F2937"/>
                <w:sz w:val="20"/>
                <w:szCs w:val="20"/>
              </w:rPr>
              <w:t xml:space="preserve">Field in .et trace</w:t>
            </w:r>
          </w:p>
        </w:tc>
        <w:tc>
          <w:tcPr>
            <w:tcW w:type="dxa" w:w="2100"/>
            <w:tcBorders>
              <w:top w:val="single" w:color="D6DEE7" w:sz="1"/>
              <w:left w:val="single" w:color="D6DEE7" w:sz="1"/>
              <w:bottom w:val="single" w:color="D6DEE7" w:sz="1"/>
              <w:right w:val="single" w:color="D6DEE7" w:sz="1"/>
            </w:tcBorders>
            <w:shd w:fill="EAF1F8" w:val="clear"/>
            <w:tcMar>
              <w:top w:type="dxa" w:w="70"/>
              <w:left w:type="dxa" w:w="120"/>
              <w:bottom w:type="dxa" w:w="70"/>
              <w:right w:type="dxa" w:w="120"/>
            </w:tcMar>
            <w:vAlign w:val="center"/>
          </w:tcPr>
          <w:p>
            <w:pPr>
              <w:spacing w:after="0"/>
            </w:pPr>
            <w:r>
              <w:rPr>
                <w:b/>
                <w:bCs/>
                <w:color w:val="1F2937"/>
                <w:sz w:val="20"/>
                <w:szCs w:val="20"/>
              </w:rPr>
              <w:t xml:space="preserve">Source</w:t>
            </w:r>
          </w:p>
        </w:tc>
        <w:tc>
          <w:tcPr>
            <w:tcW w:type="dxa" w:w="4560"/>
            <w:tcBorders>
              <w:top w:val="single" w:color="D6DEE7" w:sz="1"/>
              <w:left w:val="single" w:color="D6DEE7" w:sz="1"/>
              <w:bottom w:val="single" w:color="D6DEE7" w:sz="1"/>
              <w:right w:val="single" w:color="D6DEE7" w:sz="1"/>
            </w:tcBorders>
            <w:shd w:fill="EAF1F8" w:val="clear"/>
            <w:tcMar>
              <w:top w:type="dxa" w:w="70"/>
              <w:left w:type="dxa" w:w="120"/>
              <w:bottom w:type="dxa" w:w="70"/>
              <w:right w:type="dxa" w:w="120"/>
            </w:tcMar>
            <w:vAlign w:val="center"/>
          </w:tcPr>
          <w:p>
            <w:pPr>
              <w:spacing w:after="0"/>
            </w:pPr>
            <w:r>
              <w:rPr>
                <w:b/>
                <w:bCs/>
                <w:color w:val="1F2937"/>
                <w:sz w:val="20"/>
                <w:szCs w:val="20"/>
              </w:rPr>
              <w:t xml:space="preserve">What it captures</w:t>
            </w:r>
          </w:p>
        </w:tc>
      </w:tr>
      <w:tr>
        <w:tc>
          <w:tcPr>
            <w:tcW w:type="dxa" w:w="27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Operator / node ID</w:t>
            </w:r>
          </w:p>
        </w:tc>
        <w:tc>
          <w:tcPr>
            <w:tcW w:type="dxa" w:w="21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2F6B3D"/>
                <w:sz w:val="20"/>
                <w:szCs w:val="20"/>
              </w:rPr>
              <w:t xml:space="preserve">Profiler-filled</w:t>
            </w:r>
          </w:p>
        </w:tc>
        <w:tc>
          <w:tcPr>
            <w:tcW w:type="dxa" w:w="456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Identity of each compute op in the graph.</w:t>
            </w:r>
          </w:p>
        </w:tc>
      </w:tr>
      <w:tr>
        <w:tc>
          <w:tcPr>
            <w:tcW w:type="dxa" w:w="27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Operator type</w:t>
            </w:r>
          </w:p>
        </w:tc>
        <w:tc>
          <w:tcPr>
            <w:tcW w:type="dxa" w:w="21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2F6B3D"/>
                <w:sz w:val="20"/>
                <w:szCs w:val="20"/>
              </w:rPr>
              <w:t xml:space="preserve">Profiler-filled</w:t>
            </w:r>
          </w:p>
        </w:tc>
        <w:tc>
          <w:tcPr>
            <w:tcW w:type="dxa" w:w="456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Compute kernel (e.g. aten::addmm).</w:t>
            </w:r>
          </w:p>
        </w:tc>
      </w:tr>
      <w:tr>
        <w:tc>
          <w:tcPr>
            <w:tcW w:type="dxa" w:w="27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Duration / timing</w:t>
            </w:r>
          </w:p>
        </w:tc>
        <w:tc>
          <w:tcPr>
            <w:tcW w:type="dxa" w:w="21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2F6B3D"/>
                <w:sz w:val="20"/>
                <w:szCs w:val="20"/>
              </w:rPr>
              <w:t xml:space="preserve">Profiler-filled</w:t>
            </w:r>
          </w:p>
        </w:tc>
        <w:tc>
          <w:tcPr>
            <w:tcW w:type="dxa" w:w="456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Steady-state op latency; step-0 excluded.</w:t>
            </w:r>
          </w:p>
        </w:tc>
      </w:tr>
      <w:tr>
        <w:tc>
          <w:tcPr>
            <w:tcW w:type="dxa" w:w="27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Data dependencies</w:t>
            </w:r>
          </w:p>
        </w:tc>
        <w:tc>
          <w:tcPr>
            <w:tcW w:type="dxa" w:w="21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2F6B3D"/>
                <w:sz w:val="20"/>
                <w:szCs w:val="20"/>
              </w:rPr>
              <w:t xml:space="preserve">Profiler-filled</w:t>
            </w:r>
          </w:p>
        </w:tc>
        <w:tc>
          <w:tcPr>
            <w:tcW w:type="dxa" w:w="456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Edges defining execution order in the graph.</w:t>
            </w:r>
          </w:p>
        </w:tc>
      </w:tr>
      <w:tr>
        <w:tc>
          <w:tcPr>
            <w:tcW w:type="dxa" w:w="27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Collective type</w:t>
            </w:r>
          </w:p>
        </w:tc>
        <w:tc>
          <w:tcPr>
            <w:tcW w:type="dxa" w:w="21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9A6722"/>
                <w:sz w:val="20"/>
                <w:szCs w:val="20"/>
              </w:rPr>
              <w:t xml:space="preserve">Synthesised</w:t>
            </w:r>
          </w:p>
        </w:tc>
        <w:tc>
          <w:tcPr>
            <w:tcW w:type="dxa" w:w="456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AllReduce / AllGather / Send-Recv from the NCCL mapping.</w:t>
            </w:r>
          </w:p>
        </w:tc>
      </w:tr>
      <w:tr>
        <w:tc>
          <w:tcPr>
            <w:tcW w:type="dxa" w:w="27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Tensor / message size</w:t>
            </w:r>
          </w:p>
        </w:tc>
        <w:tc>
          <w:tcPr>
            <w:tcW w:type="dxa" w:w="21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9A6722"/>
                <w:sz w:val="20"/>
                <w:szCs w:val="20"/>
              </w:rPr>
              <w:t xml:space="preserve">Synthesised</w:t>
            </w:r>
          </w:p>
        </w:tc>
        <w:tc>
          <w:tcPr>
            <w:tcW w:type="dxa" w:w="456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Computed from model params × dtype bytes.</w:t>
            </w:r>
          </w:p>
        </w:tc>
      </w:tr>
      <w:tr>
        <w:tc>
          <w:tcPr>
            <w:tcW w:type="dxa" w:w="27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Comm group</w:t>
            </w:r>
          </w:p>
        </w:tc>
        <w:tc>
          <w:tcPr>
            <w:tcW w:type="dxa" w:w="21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9A6722"/>
                <w:sz w:val="20"/>
                <w:szCs w:val="20"/>
              </w:rPr>
              <w:t xml:space="preserve">Synthesised</w:t>
            </w:r>
          </w:p>
        </w:tc>
        <w:tc>
          <w:tcPr>
            <w:tcW w:type="dxa" w:w="456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Process group the collective spans.</w:t>
            </w:r>
          </w:p>
        </w:tc>
      </w:tr>
      <w:tr>
        <w:tc>
          <w:tcPr>
            <w:tcW w:type="dxa" w:w="27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Comm dependency</w:t>
            </w:r>
          </w:p>
        </w:tc>
        <w:tc>
          <w:tcPr>
            <w:tcW w:type="dxa" w:w="21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9A6722"/>
                <w:sz w:val="20"/>
                <w:szCs w:val="20"/>
              </w:rPr>
              <w:t xml:space="preserve">Synthesised</w:t>
            </w:r>
          </w:p>
        </w:tc>
        <w:tc>
          <w:tcPr>
            <w:tcW w:type="dxa" w:w="456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Barrier placement where the collective is stamped.</w:t>
            </w:r>
          </w:p>
        </w:tc>
      </w:tr>
    </w:tbl>
    <w:p>
      <w:pPr>
        <w:spacing w:after="60" w:before="100"/>
      </w:pPr>
      <w:r>
        <w:rPr>
          <w:b/>
          <w:bCs/>
          <w:i w:val="false"/>
          <w:iCs w:val="false"/>
        </w:rPr>
        <w:t xml:space="preserve">Read it as: </w:t>
      </w:r>
      <w:r>
        <w:t xml:space="preserve">Pod A produces the .et trace carrying the profiler-filled (green) fields; Pod B fills the synthesised (amber) collective fields. The two halves meeting in one valid .et file is the whole Sprint 3 integration.</w:t>
      </w:r>
    </w:p>
    <w:p>
      <w:pPr>
        <w:pStyle w:val="Heading1"/>
        <w:spacing w:after="120" w:before="320"/>
      </w:pPr>
      <w:r>
        <w:t xml:space="preserve">Pod B — The Traffic</w:t>
      </w:r>
    </w:p>
    <w:p>
      <w:pPr>
        <w:spacing w:after="120"/>
      </w:pPr>
      <w:r>
        <w:rPr>
          <w:i/>
          <w:iCs/>
          <w:color w:val="6B7785"/>
          <w:sz w:val="19"/>
          <w:szCs w:val="19"/>
        </w:rPr>
        <w:t xml:space="preserve">Tae (R2 · Tech Lead) — pod lead  ·  Ashraf (R4 · NCCL &amp; Collective Communication) — collective spec  ·  Kyle (R1 · Workload &amp; Metrics) — run &amp; validate</w:t>
      </w:r>
    </w:p>
    <w:p>
      <w:pPr>
        <w:spacing w:after="140" w:before="0"/>
      </w:pPr>
      <w:r>
        <w:rPr>
          <w:b/>
          <w:bCs/>
          <w:i w:val="false"/>
          <w:iCs w:val="false"/>
        </w:rPr>
        <w:t xml:space="preserve">How it feeds the bigger picture. </w:t>
      </w:r>
      <w:r>
        <w:t xml:space="preserve">A compute-only trace has no network events — and simulating the network is the entire point. This pod supplies the collectives: it decides which NCCL operation each parallelism phase generates and how large each message is, stamps those into the trace at the synchronisation barrier, then runs and validates the baseline curves. Without it, ASTRA-sim has nothing meaningful to congest or route around. This is the SRS headline for the sprint.</w:t>
      </w:r>
    </w:p>
    <w:p>
      <w:pPr>
        <w:pBdr>
          <w:left w:val="single" w:color="2E5A8C" w:sz="18" w:space="10"/>
        </w:pBdr>
        <w:shd w:fill="EAF1F8" w:val="clear"/>
        <w:spacing w:after="160" w:before="80"/>
        <w:ind w:left="180" w:right="120"/>
      </w:pPr>
      <w:r>
        <w:rPr>
          <w:b/>
          <w:bCs/>
          <w:color w:val="2E5A8C"/>
        </w:rPr>
        <w:t xml:space="preserve">Lead &amp; shared spec —  </w:t>
      </w:r>
      <w:r>
        <w:t xml:space="preserve">Tae leads this lane as tech lead — the critical-path deliverables and ASTRA-sim integration sit with him. Ashraf (R4) supplies the collective spec into it, and nobody starts cold: the team-prepared NCCL research document already provides the parallelism-to-collective mapping, the GPT-2 payload sizes, the ring/tree validation identity, and the metric definitions. The run-and-validate work sits with Kyle (R1) alongside Tae — his metrics role is the natural fit for reading the baseline curves.</w:t>
      </w:r>
    </w:p>
    <w:p>
      <w:pPr>
        <w:spacing w:after="80" w:before="0"/>
      </w:pPr>
      <w:r>
        <w:rPr>
          <w:b/>
          <w:bCs/>
          <w:i w:val="false"/>
          <w:iCs w:val="false"/>
        </w:rPr>
        <w:t xml:space="preserve">Ashraf — the collective spec:</w:t>
      </w:r>
    </w:p>
    <w:p>
      <w:pPr>
        <w:pStyle w:val="ListParagraph"/>
        <w:numPr>
          <w:ilvl w:val="0"/>
          <w:numId w:val="2"/>
        </w:numPr>
        <w:spacing w:after="80"/>
      </w:pPr>
      <w:r>
        <w:rPr>
          <w:b/>
          <w:bCs/>
          <w:i w:val="false"/>
          <w:iCs w:val="false"/>
        </w:rPr>
        <w:t xml:space="preserve">Consolidate the parallelism-to-collective mapping: </w:t>
      </w:r>
      <w:r>
        <w:t xml:space="preserve">DP → AllReduce (gradient sync, highest volume), TP → AllReduce/AllGather within node, PP → Send/Recv between stages — structured so the whole pod can use it.</w:t>
      </w:r>
    </w:p>
    <w:p>
      <w:pPr>
        <w:pStyle w:val="ListParagraph"/>
        <w:numPr>
          <w:ilvl w:val="0"/>
          <w:numId w:val="2"/>
        </w:numPr>
        <w:spacing w:after="80"/>
      </w:pPr>
      <w:r>
        <w:rPr>
          <w:b/>
          <w:bCs/>
          <w:i w:val="false"/>
          <w:iCs w:val="false"/>
        </w:rPr>
        <w:t xml:space="preserve">Define the payload sizes from the model: </w:t>
      </w:r>
      <w:r>
        <w:t xml:space="preserve">GPT-2 124M gradient all-reduce ≈ 0.5 GB in FP32, ~0.25 GB in FP16/BF16 (params × bytes-per-element, documented per precision).</w:t>
      </w:r>
    </w:p>
    <w:p>
      <w:pPr>
        <w:pStyle w:val="ListParagraph"/>
        <w:numPr>
          <w:ilvl w:val="0"/>
          <w:numId w:val="2"/>
        </w:numPr>
        <w:spacing w:after="80"/>
      </w:pPr>
      <w:r>
        <w:rPr>
          <w:b/>
          <w:bCs/>
          <w:i w:val="false"/>
          <w:iCs w:val="false"/>
        </w:rPr>
        <w:t xml:space="preserve">Stamp the collectives analytically </w:t>
      </w:r>
      <w:r>
        <w:t xml:space="preserve">at the sync barrier in the .et trace — these are the “synthesised” fields in the contract above.</w:t>
      </w:r>
    </w:p>
    <w:p>
      <w:pPr>
        <w:spacing w:after="80" w:before="40"/>
      </w:pPr>
      <w:r>
        <w:rPr>
          <w:b/>
          <w:bCs/>
          <w:i w:val="false"/>
          <w:iCs w:val="false"/>
        </w:rPr>
        <w:t xml:space="preserve">Run &amp; validate the baseline (Tae + Kyle):</w:t>
      </w:r>
    </w:p>
    <w:p>
      <w:pPr>
        <w:pStyle w:val="ListParagraph"/>
        <w:numPr>
          <w:ilvl w:val="0"/>
          <w:numId w:val="2"/>
        </w:numPr>
        <w:spacing w:after="80"/>
      </w:pPr>
      <w:r>
        <w:rPr>
          <w:b/>
          <w:bCs/>
          <w:i w:val="false"/>
          <w:iCs w:val="false"/>
        </w:rPr>
        <w:t xml:space="preserve">Run the all-reduce baseline </w:t>
      </w:r>
      <w:r>
        <w:t xml:space="preserve">across 4 → 16 → 64 NPUs on a simple analytical topology — the Ring backend Tae already proved in Sprint 2.</w:t>
      </w:r>
    </w:p>
    <w:p>
      <w:pPr>
        <w:pStyle w:val="ListParagraph"/>
        <w:numPr>
          <w:ilvl w:val="0"/>
          <w:numId w:val="2"/>
        </w:numPr>
        <w:spacing w:after="80"/>
      </w:pPr>
      <w:r>
        <w:rPr>
          <w:b/>
          <w:bCs/>
          <w:i w:val="false"/>
          <w:iCs w:val="false"/>
        </w:rPr>
        <w:t xml:space="preserve">Validate the curve shape: </w:t>
      </w:r>
      <w:r>
        <w:t xml:space="preserve">ring all-reduce bus bandwidth ≈ algorithm bandwidth × 2(N−1)/N. Bandwidth should plateau and latency grow with ring size — that shape is exactly what TC-02 means by sensible curves.</w:t>
      </w:r>
    </w:p>
    <w:p>
      <w:pPr>
        <w:pStyle w:val="ListParagraph"/>
        <w:numPr>
          <w:ilvl w:val="0"/>
          <w:numId w:val="2"/>
        </w:numPr>
        <w:spacing w:after="80"/>
      </w:pPr>
      <w:r>
        <w:rPr>
          <w:b/>
          <w:bCs/>
          <w:i w:val="false"/>
          <w:iCs w:val="false"/>
        </w:rPr>
        <w:t xml:space="preserve">Watch for stall / timeout-equivalent events </w:t>
      </w:r>
      <w:r>
        <w:t xml:space="preserve">as straggler indicators (FR-N2).</w:t>
      </w:r>
    </w:p>
    <w:p>
      <w:pPr>
        <w:pBdr>
          <w:left w:val="single" w:color="C8893A" w:sz="18" w:space="10"/>
        </w:pBdr>
        <w:shd w:fill="FBF3E8" w:val="clear"/>
        <w:spacing w:after="160" w:before="80"/>
        <w:ind w:left="180" w:right="120"/>
      </w:pPr>
      <w:r>
        <w:rPr>
          <w:b/>
          <w:bCs/>
          <w:color w:val="9A6722"/>
        </w:rPr>
        <w:t xml:space="preserve">Sprint goal —  </w:t>
      </w:r>
      <w:r>
        <w:rPr>
          <w:b/>
          <w:bCs/>
          <w:i w:val="false"/>
          <w:iCs w:val="false"/>
        </w:rPr>
        <w:t xml:space="preserve">TC-02</w:t>
      </w:r>
      <w:r>
        <w:t xml:space="preserve"> — simulated all-reduce over the baseline topology produces sensible bandwidth and latency curves with no timeouts. The reference every later experiment is measured against; it either produces sane curves or it doesn't.</w:t>
      </w:r>
    </w:p>
    <w:p>
      <w:pPr>
        <w:pStyle w:val="Heading1"/>
        <w:spacing w:after="120" w:before="320"/>
      </w:pPr>
      <w:r>
        <w:t xml:space="preserve">Pod C — The Failures</w:t>
      </w:r>
    </w:p>
    <w:p>
      <w:pPr>
        <w:spacing w:after="120"/>
      </w:pPr>
      <w:r>
        <w:rPr>
          <w:i/>
          <w:iCs/>
          <w:color w:val="6B7785"/>
          <w:sz w:val="19"/>
          <w:szCs w:val="19"/>
        </w:rPr>
        <w:t xml:space="preserve">Navami (R5 · GPU Failures &amp; Resilience)</w:t>
      </w:r>
    </w:p>
    <w:p>
      <w:pPr>
        <w:spacing w:after="140" w:before="0"/>
      </w:pPr>
      <w:r>
        <w:rPr>
          <w:b/>
          <w:bCs/>
          <w:i w:val="false"/>
          <w:iCs w:val="false"/>
        </w:rPr>
        <w:t xml:space="preserve">How it feeds the bigger picture. </w:t>
      </w:r>
      <w:r>
        <w:t xml:space="preserve">Sprint 4 injects failures; this pod ensures that when we do, the numbers are grounded in the literature rather than invented. It converts the failure research into a ready-to-run experiment design, so Sprint 4 is execution rather than scramble.</w:t>
      </w:r>
    </w:p>
    <w:p>
      <w:pPr>
        <w:spacing w:after="140" w:before="0"/>
      </w:pPr>
      <w:r>
        <w:rPr>
          <w:b/>
          <w:bCs/>
          <w:i w:val="false"/>
          <w:iCs w:val="false"/>
        </w:rPr>
        <w:t xml:space="preserve">This is a two-sprint task. </w:t>
      </w:r>
      <w:r>
        <w:t xml:space="preserve">The work spans Sprint 3–4: this sprint is design and drafting, with integration and execution carried into Sprint 4. Nothing here needs to be finished or wired into the simulator this week — the goal below is deliberately scoped to the design only, so there is no pressure to rush a half-built injection module.</w:t>
      </w:r>
    </w:p>
    <w:p>
      <w:pPr>
        <w:pStyle w:val="ListParagraph"/>
        <w:numPr>
          <w:ilvl w:val="0"/>
          <w:numId w:val="2"/>
        </w:numPr>
        <w:spacing w:after="80"/>
      </w:pPr>
      <w:r>
        <w:rPr>
          <w:b/>
          <w:bCs/>
          <w:i w:val="false"/>
          <w:iCs w:val="false"/>
        </w:rPr>
        <w:t xml:space="preserve">Finalise the failure parametrisation table </w:t>
      </w:r>
      <w:r>
        <w:t xml:space="preserve">(MTBE anchors): combined GPU-hardware ≈ 800 node-hrs; NVLink 28.28; GSP 39.55.</w:t>
      </w:r>
    </w:p>
    <w:p>
      <w:pPr>
        <w:pStyle w:val="ListParagraph"/>
        <w:numPr>
          <w:ilvl w:val="0"/>
          <w:numId w:val="2"/>
        </w:numPr>
        <w:spacing w:after="80"/>
      </w:pPr>
      <w:r>
        <w:rPr>
          <w:b/>
          <w:bCs/>
          <w:i w:val="false"/>
          <w:iCs w:val="false"/>
        </w:rPr>
        <w:t xml:space="preserve">Design the network-fault sensitivity sweep </w:t>
      </w:r>
      <w:r>
        <w:t xml:space="preserve">— three points: rare (~100 node-hr MTBE), moderate (~50), aggressive (~25, ≈ NVLink frequency). If predictive routing's JCT advantage survives all three, the missing fault-rate figure becomes a robustness result, not a weakness.</w:t>
      </w:r>
    </w:p>
    <w:p>
      <w:pPr>
        <w:pStyle w:val="ListParagraph"/>
        <w:numPr>
          <w:ilvl w:val="0"/>
          <w:numId w:val="2"/>
        </w:numPr>
        <w:spacing w:after="80"/>
      </w:pPr>
      <w:r>
        <w:rPr>
          <w:b/>
          <w:bCs/>
          <w:i w:val="false"/>
          <w:iCs w:val="false"/>
        </w:rPr>
        <w:t xml:space="preserve">Propose the heartbeat detection timeout </w:t>
      </w:r>
      <w:r>
        <w:t xml:space="preserve">— ~30s (or sweep 10–60s), justified via MegaScale's real-time heartbeat detection; name the trade-off (too short flags transient stalls as deaths, too long burns compute on a dead node).</w:t>
      </w:r>
    </w:p>
    <w:p>
      <w:pPr>
        <w:pStyle w:val="ListParagraph"/>
        <w:numPr>
          <w:ilvl w:val="0"/>
          <w:numId w:val="2"/>
        </w:numPr>
        <w:spacing w:after="80"/>
      </w:pPr>
      <w:r>
        <w:rPr>
          <w:b/>
          <w:bCs/>
          <w:i w:val="false"/>
          <w:iCs w:val="false"/>
        </w:rPr>
        <w:t xml:space="preserve">Tag cascade vs isolated </w:t>
      </w:r>
      <w:r>
        <w:t xml:space="preserve">— note which failure types cascade (e.g. GSP) and which stay contained.</w:t>
      </w:r>
    </w:p>
    <w:p>
      <w:pPr>
        <w:pBdr>
          <w:left w:val="single" w:color="C8893A" w:sz="18" w:space="10"/>
        </w:pBdr>
        <w:shd w:fill="FBF3E8" w:val="clear"/>
        <w:spacing w:after="160" w:before="80"/>
        <w:ind w:left="180" w:right="120"/>
      </w:pPr>
      <w:r>
        <w:rPr>
          <w:b/>
          <w:bCs/>
          <w:color w:val="9A6722"/>
        </w:rPr>
        <w:t xml:space="preserve">Sprint goal —  </w:t>
      </w:r>
      <w:r>
        <w:t xml:space="preserve">a single reviewed </w:t>
      </w:r>
      <w:r>
        <w:rPr>
          <w:b/>
          <w:bCs/>
          <w:i w:val="false"/>
          <w:iCs w:val="false"/>
        </w:rPr>
        <w:t xml:space="preserve">sensitivity-sweep grid</w:t>
      </w:r>
      <w:r>
        <w:t xml:space="preserve"> exists by sprint end — three fault points × the metrics it will report — ready to hand to Sprint 4. It exists or it doesn't.</w:t>
      </w:r>
    </w:p>
    <w:p>
      <w:pPr>
        <w:pBdr>
          <w:left w:val="single" w:color="8A93A1" w:sz="18" w:space="10"/>
        </w:pBdr>
        <w:shd w:fill="F1F3F6" w:val="clear"/>
        <w:spacing w:after="160" w:before="80"/>
        <w:ind w:left="180" w:right="120"/>
      </w:pPr>
      <w:r>
        <w:rPr>
          <w:b/>
          <w:bCs/>
          <w:color w:val="2E5A8C"/>
        </w:rPr>
        <w:t xml:space="preserve">If you have bonus time —  </w:t>
      </w:r>
      <w:r>
        <w:t xml:space="preserve">no obligation to make yourself available to other pods. The priority is the opposite: spend it familiarising yourself with the wider project — the other pods' outputs, the SRS, and where the evaluation is heading — so you arrive at Sprint 4 with the full picture. This is a course project, not a crunch; pacing is fine.</w:t>
      </w:r>
    </w:p>
    <w:p>
      <w:pPr>
        <w:pStyle w:val="Heading1"/>
        <w:spacing w:after="120" w:before="320"/>
      </w:pPr>
      <w:r>
        <w:t xml:space="preserve">Acceptance targets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400"/>
        <w:gridCol w:w="2000"/>
      </w:tblGrid>
      <w:tr>
        <w:tc>
          <w:tcPr>
            <w:tcW w:type="dxa" w:w="1200"/>
            <w:tcBorders>
              <w:top w:val="single" w:color="D6DEE7" w:sz="1"/>
              <w:left w:val="single" w:color="D6DEE7" w:sz="1"/>
              <w:bottom w:val="single" w:color="D6DEE7" w:sz="1"/>
              <w:right w:val="single" w:color="D6DEE7" w:sz="1"/>
            </w:tcBorders>
            <w:shd w:fill="EAF1F8" w:val="clear"/>
            <w:tcMar>
              <w:top w:type="dxa" w:w="70"/>
              <w:left w:type="dxa" w:w="120"/>
              <w:bottom w:type="dxa" w:w="70"/>
              <w:right w:type="dxa" w:w="120"/>
            </w:tcMar>
            <w:vAlign w:val="center"/>
          </w:tcPr>
          <w:p>
            <w:pPr>
              <w:spacing w:after="0"/>
            </w:pPr>
            <w:r>
              <w:rPr>
                <w:b/>
                <w:bCs/>
                <w:color w:val="1F2937"/>
                <w:sz w:val="20"/>
                <w:szCs w:val="20"/>
              </w:rPr>
              <w:t xml:space="preserve">Test</w:t>
            </w:r>
          </w:p>
        </w:tc>
        <w:tc>
          <w:tcPr>
            <w:tcW w:type="dxa" w:w="4760"/>
            <w:tcBorders>
              <w:top w:val="single" w:color="D6DEE7" w:sz="1"/>
              <w:left w:val="single" w:color="D6DEE7" w:sz="1"/>
              <w:bottom w:val="single" w:color="D6DEE7" w:sz="1"/>
              <w:right w:val="single" w:color="D6DEE7" w:sz="1"/>
            </w:tcBorders>
            <w:shd w:fill="EAF1F8" w:val="clear"/>
            <w:tcMar>
              <w:top w:type="dxa" w:w="70"/>
              <w:left w:type="dxa" w:w="120"/>
              <w:bottom w:type="dxa" w:w="70"/>
              <w:right w:type="dxa" w:w="120"/>
            </w:tcMar>
            <w:vAlign w:val="center"/>
          </w:tcPr>
          <w:p>
            <w:pPr>
              <w:spacing w:after="0"/>
            </w:pPr>
            <w:r>
              <w:rPr>
                <w:b/>
                <w:bCs/>
                <w:color w:val="1F2937"/>
                <w:sz w:val="20"/>
                <w:szCs w:val="20"/>
              </w:rPr>
              <w:t xml:space="preserve">Target this sprint</w:t>
            </w:r>
          </w:p>
        </w:tc>
        <w:tc>
          <w:tcPr>
            <w:tcW w:type="dxa" w:w="1400"/>
            <w:tcBorders>
              <w:top w:val="single" w:color="D6DEE7" w:sz="1"/>
              <w:left w:val="single" w:color="D6DEE7" w:sz="1"/>
              <w:bottom w:val="single" w:color="D6DEE7" w:sz="1"/>
              <w:right w:val="single" w:color="D6DEE7" w:sz="1"/>
            </w:tcBorders>
            <w:shd w:fill="EAF1F8" w:val="clear"/>
            <w:tcMar>
              <w:top w:type="dxa" w:w="70"/>
              <w:left w:type="dxa" w:w="120"/>
              <w:bottom w:type="dxa" w:w="70"/>
              <w:right w:type="dxa" w:w="120"/>
            </w:tcMar>
            <w:vAlign w:val="center"/>
          </w:tcPr>
          <w:p>
            <w:pPr>
              <w:spacing w:after="0"/>
            </w:pPr>
            <w:r>
              <w:rPr>
                <w:b/>
                <w:bCs/>
                <w:color w:val="1F2937"/>
                <w:sz w:val="20"/>
                <w:szCs w:val="20"/>
              </w:rPr>
              <w:t xml:space="preserve">Owner</w:t>
            </w:r>
          </w:p>
        </w:tc>
        <w:tc>
          <w:tcPr>
            <w:tcW w:type="dxa" w:w="2000"/>
            <w:tcBorders>
              <w:top w:val="single" w:color="D6DEE7" w:sz="1"/>
              <w:left w:val="single" w:color="D6DEE7" w:sz="1"/>
              <w:bottom w:val="single" w:color="D6DEE7" w:sz="1"/>
              <w:right w:val="single" w:color="D6DEE7" w:sz="1"/>
            </w:tcBorders>
            <w:shd w:fill="EAF1F8" w:val="clear"/>
            <w:tcMar>
              <w:top w:type="dxa" w:w="70"/>
              <w:left w:type="dxa" w:w="120"/>
              <w:bottom w:type="dxa" w:w="70"/>
              <w:right w:type="dxa" w:w="120"/>
            </w:tcMar>
            <w:vAlign w:val="center"/>
          </w:tcPr>
          <w:p>
            <w:pPr>
              <w:spacing w:after="0"/>
            </w:pPr>
            <w:r>
              <w:rPr>
                <w:b/>
                <w:bCs/>
                <w:color w:val="1F2937"/>
                <w:sz w:val="20"/>
                <w:szCs w:val="20"/>
              </w:rPr>
              <w:t xml:space="preserve">Verifies</w:t>
            </w:r>
          </w:p>
        </w:tc>
      </w:tr>
      <w:tr>
        <w:tc>
          <w:tcPr>
            <w:tcW w:type="dxa" w:w="12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TC-01</w:t>
            </w:r>
          </w:p>
        </w:tc>
        <w:tc>
          <w:tcPr>
            <w:tcW w:type="dxa" w:w="476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Full trace-to-sim pipeline closes; metrics recorded correctly (documented carry-over).</w:t>
            </w:r>
          </w:p>
        </w:tc>
        <w:tc>
          <w:tcPr>
            <w:tcW w:type="dxa" w:w="14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Pod A</w:t>
            </w:r>
          </w:p>
        </w:tc>
        <w:tc>
          <w:tcPr>
            <w:tcW w:type="dxa" w:w="20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FR-M1, FR-M2, FR-P1</w:t>
            </w:r>
          </w:p>
        </w:tc>
      </w:tr>
      <w:tr>
        <w:tc>
          <w:tcPr>
            <w:tcW w:type="dxa" w:w="12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TC-02</w:t>
            </w:r>
          </w:p>
        </w:tc>
        <w:tc>
          <w:tcPr>
            <w:tcW w:type="dxa" w:w="476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Simulated collectives over baseline topology give sensible bandwidth/latency curves, no timeouts.</w:t>
            </w:r>
          </w:p>
        </w:tc>
        <w:tc>
          <w:tcPr>
            <w:tcW w:type="dxa" w:w="14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Pod B</w:t>
            </w:r>
          </w:p>
        </w:tc>
        <w:tc>
          <w:tcPr>
            <w:tcW w:type="dxa" w:w="20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FR-G1, FR-N1, FR-N2</w:t>
            </w:r>
          </w:p>
        </w:tc>
      </w:tr>
      <w:tr>
        <w:tc>
          <w:tcPr>
            <w:tcW w:type="dxa" w:w="12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TC-03</w:t>
            </w:r>
          </w:p>
        </w:tc>
        <w:tc>
          <w:tcPr>
            <w:tcW w:type="dxa" w:w="476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Not closing — sweep grid designed and reviewed, ready for Sprint 4 injection.</w:t>
            </w:r>
          </w:p>
        </w:tc>
        <w:tc>
          <w:tcPr>
            <w:tcW w:type="dxa" w:w="14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Pod C</w:t>
            </w:r>
          </w:p>
        </w:tc>
        <w:tc>
          <w:tcPr>
            <w:tcW w:type="dxa" w:w="2000"/>
            <w:tcBorders>
              <w:top w:val="single" w:color="D6DEE7" w:sz="1"/>
              <w:left w:val="single" w:color="D6DEE7" w:sz="1"/>
              <w:bottom w:val="single" w:color="D6DEE7" w:sz="1"/>
              <w:right w:val="single" w:color="D6DEE7" w:sz="1"/>
            </w:tcBorders>
            <w:tcMar>
              <w:top w:type="dxa" w:w="70"/>
              <w:left w:type="dxa" w:w="120"/>
              <w:bottom w:type="dxa" w:w="70"/>
              <w:right w:type="dxa" w:w="120"/>
            </w:tcMar>
            <w:vAlign w:val="center"/>
          </w:tcPr>
          <w:p>
            <w:pPr>
              <w:spacing w:after="0"/>
            </w:pPr>
            <w:r>
              <w:rPr>
                <w:b w:val="false"/>
                <w:bCs w:val="false"/>
                <w:color w:val="1F2937"/>
                <w:sz w:val="20"/>
                <w:szCs w:val="20"/>
              </w:rPr>
              <w:t xml:space="preserve">FR-G2, FR-G3 (prep)</w:t>
            </w:r>
          </w:p>
        </w:tc>
      </w:tr>
    </w:tbl>
    <w:p>
      <w:pPr>
        <w:pStyle w:val="Heading1"/>
        <w:spacing w:after="120" w:before="320"/>
      </w:pPr>
      <w:r>
        <w:t xml:space="preserve">How we coordinate this sprint</w:t>
      </w:r>
    </w:p>
    <w:p>
      <w:pPr>
        <w:spacing w:after="140" w:before="0"/>
      </w:pPr>
      <w:r>
        <w:t xml:space="preserve">The integration contract is doing deliberate work. Coordination this sprint lives in that written interface, not in any one person's inbox — the pods build against the document so progress doesn't bottleneck through a single coordinator. If you're blocked, the first question is whether the contract answers it before it comes to me. The Thursday deadline holds, with Friday kept as a genuine recovery day rather than a panic day — this is a course project, and I'd rather we pace ourselves and avoid crunch than burn anyone out chasing a stretch goal.</w:t>
      </w:r>
    </w:p>
    <w:p>
      <w:pPr>
        <w:pStyle w:val="Heading1"/>
        <w:spacing w:after="120" w:before="320"/>
      </w:pPr>
      <w:r>
        <w:t xml:space="preserve">Keynotes — supervisor meeting</w:t>
      </w:r>
    </w:p>
    <w:p>
      <w:pPr>
        <w:spacing w:after="120" w:before="0"/>
      </w:pPr>
      <w:r>
        <w:rPr>
          <w:b w:val="false"/>
          <w:bCs w:val="false"/>
          <w:i/>
          <w:iCs/>
          <w:color w:val="6B7785"/>
        </w:rPr>
        <w:t xml:space="preserve">Positions to land, not problems to bring — walking in with a plan and seeking assent.</w:t>
      </w:r>
    </w:p>
    <w:p>
      <w:pPr>
        <w:pStyle w:val="ListParagraph"/>
        <w:numPr>
          <w:ilvl w:val="0"/>
          <w:numId w:val="2"/>
        </w:numPr>
        <w:spacing w:after="80"/>
      </w:pPr>
      <w:r>
        <w:rPr>
          <w:b/>
          <w:bCs/>
          <w:i w:val="false"/>
          <w:iCs w:val="false"/>
        </w:rPr>
        <w:t xml:space="preserve">Framing: </w:t>
      </w:r>
      <w:r>
        <w:t xml:space="preserve">Sprint 2 landed foundations across the roles; Sprint 3 reorganises them into three pods to integrate. Planned Agile sequencing, not catch-up.</w:t>
      </w:r>
    </w:p>
    <w:p>
      <w:pPr>
        <w:pStyle w:val="ListParagraph"/>
        <w:numPr>
          <w:ilvl w:val="0"/>
          <w:numId w:val="2"/>
        </w:numPr>
        <w:spacing w:after="80"/>
      </w:pPr>
      <w:r>
        <w:rPr>
          <w:b/>
          <w:bCs/>
          <w:i w:val="false"/>
          <w:iCs w:val="false"/>
        </w:rPr>
        <w:t xml:space="preserve">Acting on her steer: </w:t>
      </w:r>
      <w:r>
        <w:t xml:space="preserve">we are now synthesising collectives analytically rather than requiring a GPU cluster — thank her for the direction, confirm it is the methodology, and note it makes GPU access non-blocking.</w:t>
      </w:r>
    </w:p>
    <w:p>
      <w:pPr>
        <w:pStyle w:val="ListParagraph"/>
        <w:numPr>
          <w:ilvl w:val="0"/>
          <w:numId w:val="2"/>
        </w:numPr>
        <w:spacing w:after="80"/>
      </w:pPr>
      <w:r>
        <w:rPr>
          <w:b/>
          <w:bCs/>
          <w:i w:val="false"/>
          <w:iCs w:val="false"/>
        </w:rPr>
        <w:t xml:space="preserve">Acceptance targets: </w:t>
      </w:r>
      <w:r>
        <w:t xml:space="preserve">TC-01 closes as a documented carry-over; TC-02 is the headline we're aiming at this sprint.</w:t>
      </w:r>
    </w:p>
    <w:p>
      <w:pPr>
        <w:pStyle w:val="ListParagraph"/>
        <w:numPr>
          <w:ilvl w:val="0"/>
          <w:numId w:val="2"/>
        </w:numPr>
        <w:spacing w:after="80"/>
      </w:pPr>
      <w:r>
        <w:rPr>
          <w:b/>
          <w:bCs/>
          <w:i w:val="false"/>
          <w:iCs w:val="false"/>
        </w:rPr>
        <w:t xml:space="preserve">Pod structure is settled along the roles: </w:t>
      </w:r>
      <w:r>
        <w:t xml:space="preserve">Tae (tech lead) owns the NCCL/network-baseline lane and its ASTRA-sim integration; Ashraf (R4) contributes the collective mapping; Kyle (R1) runs and validates the baseline curves; and Roshan (R3) leads the trace-to-sim pipeline. Each person sits where their Sprint 2 work prepared them.</w:t>
      </w:r>
    </w:p>
    <w:p>
      <w:pPr>
        <w:pStyle w:val="ListParagraph"/>
        <w:numPr>
          <w:ilvl w:val="0"/>
          <w:numId w:val="2"/>
        </w:numPr>
        <w:spacing w:after="80"/>
      </w:pPr>
      <w:r>
        <w:rPr>
          <w:b/>
          <w:bCs/>
          <w:i w:val="false"/>
          <w:iCs w:val="false"/>
        </w:rPr>
        <w:t xml:space="preserve">Forward parameters (proposing, not asking her to solve): </w:t>
      </w:r>
      <w:r>
        <w:t xml:space="preserve">a three-point fault-rate sensitivity sweep that turns the literature gap into a robustness result; heartbeat timeout ~30s justified via MegaScale; topology starts simple, with the Alibaba HPN dual-ToR held as a later realism upgrade.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7" w:sz="4" w:space="6"/>
      </w:pBdr>
      <w:tabs>
        <w:tab w:val="right" w:pos="9360"/>
      </w:tabs>
    </w:pPr>
    <w:r>
      <w:rPr>
        <w:color w:val="6B7785"/>
        <w:sz w:val="16"/>
        <w:szCs w:val="16"/>
      </w:rPr>
      <w:t xml:space="preserve">CE903 Group Project 3  ·  Sprint 3 Plan &amp; Briefing</w:t>
    </w:r>
    <w:r>
      <w:rPr>
        <w:color w:val="6B7785"/>
        <w:sz w:val="16"/>
        <w:szCs w:val="16"/>
      </w:rPr>
      <w:t xml:space="preserve">	Page </w:t>
    </w:r>
    <w:r>
      <w:rPr>
        <w:color w:val="6B77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DEE7" w:sz="4" w:space="4"/>
      </w:pBdr>
      <w:spacing w:after="120" w:before="320"/>
      <w:outlineLvl w:val="0"/>
    </w:pPr>
    <w:rPr>
      <w:rFonts w:ascii="Arial" w:cs="Arial" w:eastAsia="Arial" w:hAnsi="Arial"/>
      <w:b/>
      <w:bCs/>
      <w:color w:val="2E5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2026-05-26T10:44:55.189Z</dcterms:created>
  <dcterms:modified xsi:type="dcterms:W3CDTF">2026-05-26T10:44:55.201Z</dcterms:modified>
</cp:coreProperties>
</file>

<file path=docProps/custom.xml><?xml version="1.0" encoding="utf-8"?>
<Properties xmlns="http://schemas.openxmlformats.org/officeDocument/2006/custom-properties" xmlns:vt="http://schemas.openxmlformats.org/officeDocument/2006/docPropsVTypes"/>
</file>