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Sprint 3 Technical Report</w:t>
      </w:r>
    </w:p>
    <w:p>
      <w:pPr>
        <w:pStyle w:val="Body"/>
        <w:spacing w:after="80"/>
        <w:jc w:val="center"/>
      </w:pPr>
      <w:r>
        <w:rPr>
          <w:b w:val="1"/>
          <w:bCs w:val="1"/>
          <w:sz w:val="26"/>
          <w:szCs w:val="26"/>
          <w:rtl w:val="0"/>
        </w:rPr>
        <w:t>ASTRA-sim &amp; Simulation Setup</w:t>
      </w:r>
    </w:p>
    <w:p>
      <w:pPr>
        <w:pStyle w:val="Body"/>
        <w:spacing w:after="320"/>
        <w:jc w:val="center"/>
      </w:pPr>
      <w:r>
        <w:rPr>
          <w:outline w:val="0"/>
          <w:color w:val="505050"/>
          <w:sz w:val="22"/>
          <w:szCs w:val="22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 xml:space="preserve">CE903 Group Project 3  </w:t>
      </w:r>
      <w:r>
        <w:rPr>
          <w:outline w:val="0"/>
          <w:color w:val="505050"/>
          <w:sz w:val="22"/>
          <w:szCs w:val="22"/>
          <w:u w:color="505050"/>
          <w:rtl w:val="0"/>
          <w14:textFill>
            <w14:solidFill>
              <w14:srgbClr w14:val="505050"/>
            </w14:solidFill>
          </w14:textFill>
        </w:rPr>
        <w:t xml:space="preserve">·  </w:t>
      </w:r>
      <w:r>
        <w:rPr>
          <w:outline w:val="0"/>
          <w:color w:val="505050"/>
          <w:sz w:val="22"/>
          <w:szCs w:val="22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>Managing Network for LLM Training</w:t>
      </w:r>
    </w:p>
    <w:p>
      <w:pPr>
        <w:pStyle w:val="Heading"/>
      </w:pPr>
      <w:r>
        <w:rPr>
          <w:rFonts w:ascii="Times New Roman" w:hAnsi="Times New Roma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1. Overview</w:t>
      </w:r>
    </w:p>
    <w:p>
      <w:pPr>
        <w:pStyle w:val="Body"/>
        <w:spacing w:after="120"/>
      </w:pPr>
      <w:r>
        <w:rPr>
          <w:rtl w:val="0"/>
          <w:lang w:val="en-US"/>
        </w:rPr>
        <w:t>This report documents the Sprint 3 deliverables for Role 2 (ASTRA-sim and Simulation Setup). The sprint objective was to integrate the separate Sprint 2 artefacts into a working simulation pipeline. Two acceptance tests are addressed: TC-01, which validates the end-to-end trace-to-simulator pipeline, and TC-02, which validates ring all-reduce scaling behaviour at GPT-2 124M collective sizes. Both tests have been executed and passed. Coordination items for other roles have been communicated separately via the group channel.</w:t>
      </w:r>
    </w:p>
    <w:p>
      <w:pPr>
        <w:pStyle w:val="Heading"/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2. TC-01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Trace-to-Sim Pipeline</w:t>
      </w:r>
    </w:p>
    <w:p>
      <w:pPr>
        <w:pStyle w:val="Heading 2"/>
      </w:pPr>
      <w:r>
        <w:rPr>
          <w:rFonts w:ascii="Times New Roman" w:hAnsi="Times New Roma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2.1 Objective</w:t>
      </w:r>
    </w:p>
    <w:p>
      <w:pPr>
        <w:pStyle w:val="Body"/>
        <w:spacing w:after="120"/>
      </w:pPr>
      <w:r>
        <w:rPr>
          <w:rtl w:val="0"/>
          <w:lang w:val="en-US"/>
        </w:rPr>
        <w:t>TC-01 requires that a single training job runs to completion through the full trace-to-simulator pipeline with metrics recorded correctly. This is documented as a Sprint 2 carry-over in the SRS and closes in the current sprint.</w:t>
      </w:r>
    </w:p>
    <w:p>
      <w:pPr>
        <w:pStyle w:val="Heading 2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2.2 Methodology</w:t>
      </w:r>
    </w:p>
    <w:p>
      <w:pPr>
        <w:pStyle w:val="Body"/>
        <w:spacing w:after="120"/>
      </w:pPr>
      <w:r>
        <w:rPr>
          <w:rtl w:val="0"/>
          <w:lang w:val="en-US"/>
        </w:rPr>
        <w:t>A representative synthetic Chakra execution trace was constructed to model one GPT-2 124M training step across four NPUs. The trace encodes four sequential nodes connected by data dependencies: a forward pass, a backward pass, an AllReduce collective (512 MB FP32, consistent with the Sprint 3 collective specification), and an optimiser step. The trace was ingested by the ASTRA-sim 2.0 analytical backend operating on a Ring topology (50 GB/s, 500 ns latency). Compute timings are representative estimates derived from published GPT-2 124M profiling data; real profiler timings will replace these values once the converted trace is delivered by Role 3.</w:t>
      </w:r>
    </w:p>
    <w:p>
      <w:pPr>
        <w:pStyle w:val="Heading 2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2.3 Results</w:t>
      </w:r>
    </w:p>
    <w:p>
      <w:pPr>
        <w:pStyle w:val="Body"/>
        <w:spacing w:after="120"/>
      </w:pPr>
      <w:r>
        <w:rPr>
          <w:rtl w:val="0"/>
          <w:lang w:val="en-US"/>
        </w:rPr>
        <w:t>Simulation completed successfully for all four NPUs with no errors.</w:t>
      </w:r>
    </w:p>
    <w:tbl>
      <w:tblPr>
        <w:tblW w:w="88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8"/>
        <w:gridCol w:w="3243"/>
        <w:gridCol w:w="3235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32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Value</w:t>
            </w:r>
          </w:p>
        </w:tc>
        <w:tc>
          <w:tcPr>
            <w:tcW w:type="dxa" w:w="3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JCT (Wall time)</w:t>
            </w:r>
          </w:p>
        </w:tc>
        <w:tc>
          <w:tcPr>
            <w:tcW w:type="dxa" w:w="32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95,767,236 cycles</w:t>
            </w:r>
          </w:p>
        </w:tc>
        <w:tc>
          <w:tcPr>
            <w:tcW w:type="dxa" w:w="3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~95.8 ms total step time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GPU time</w:t>
            </w:r>
          </w:p>
        </w:tc>
        <w:tc>
          <w:tcPr>
            <w:tcW w:type="dxa" w:w="32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80,000,000 cycles (83.5%)</w:t>
            </w:r>
          </w:p>
        </w:tc>
        <w:tc>
          <w:tcPr>
            <w:tcW w:type="dxa" w:w="3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forward + backward + optimiser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Comm time</w:t>
            </w:r>
          </w:p>
        </w:tc>
        <w:tc>
          <w:tcPr>
            <w:tcW w:type="dxa" w:w="32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15,767,236 cycles (16.5%)</w:t>
            </w:r>
          </w:p>
        </w:tc>
        <w:tc>
          <w:tcPr>
            <w:tcW w:type="dxa" w:w="3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AllReduce 512 MB FP32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Errors</w:t>
            </w:r>
          </w:p>
        </w:tc>
        <w:tc>
          <w:tcPr>
            <w:tcW w:type="dxa" w:w="32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None</w:t>
            </w:r>
          </w:p>
        </w:tc>
        <w:tc>
          <w:tcPr>
            <w:tcW w:type="dxa" w:w="3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err.log empty for all NPUs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NPU symmetry</w:t>
            </w:r>
          </w:p>
        </w:tc>
        <w:tc>
          <w:tcPr>
            <w:tcW w:type="dxa" w:w="32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All identical</w:t>
            </w:r>
          </w:p>
        </w:tc>
        <w:tc>
          <w:tcPr>
            <w:tcW w:type="dxa" w:w="3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ring collective is symmetric</w:t>
            </w:r>
          </w:p>
        </w:tc>
      </w:tr>
    </w:tbl>
    <w:p>
      <w:pPr>
        <w:pStyle w:val="Body"/>
        <w:widowControl w:val="0"/>
        <w:spacing w:after="120" w:line="240" w:lineRule="auto"/>
        <w:jc w:val="center"/>
      </w:pPr>
    </w:p>
    <w:p>
      <w:pPr>
        <w:pStyle w:val="Body"/>
        <w:spacing w:before="80" w:after="160"/>
        <w:jc w:val="center"/>
      </w:pPr>
      <w:r>
        <w:rPr>
          <w:i w:val="1"/>
          <w:iCs w:val="1"/>
          <w:outline w:val="0"/>
          <w:color w:val="505050"/>
          <w:sz w:val="20"/>
          <w:szCs w:val="20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 xml:space="preserve">Table 1. TC-01 simulation results </w:t>
      </w:r>
      <w:r>
        <w:rPr>
          <w:i w:val="1"/>
          <w:iCs w:val="1"/>
          <w:outline w:val="0"/>
          <w:color w:val="505050"/>
          <w:sz w:val="20"/>
          <w:szCs w:val="20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 xml:space="preserve">— </w:t>
      </w:r>
      <w:r>
        <w:rPr>
          <w:i w:val="1"/>
          <w:iCs w:val="1"/>
          <w:outline w:val="0"/>
          <w:color w:val="505050"/>
          <w:sz w:val="20"/>
          <w:szCs w:val="20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>synthetic GPT-2 124M trace, 4 NPUs, Ring topology.</w:t>
      </w:r>
    </w:p>
    <w:p>
      <w:pPr>
        <w:pStyle w:val="Body"/>
      </w:pPr>
      <w:r>
        <w:rPr>
          <w:i w:val="1"/>
          <w:iCs w:val="1"/>
          <w:outline w:val="0"/>
          <w:color w:val="505050"/>
          <w:sz w:val="20"/>
          <w:szCs w:val="20"/>
          <w:u w:color="505050"/>
          <w14:textFill>
            <w14:solidFill>
              <w14:srgbClr w14:val="505050"/>
            </w14:solidFill>
          </w14:textFill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-114300</wp:posOffset>
            </wp:positionH>
            <wp:positionV relativeFrom="line">
              <wp:posOffset>-384175</wp:posOffset>
            </wp:positionV>
            <wp:extent cx="5974773" cy="2782696"/>
            <wp:effectExtent l="0" t="0" r="0" b="0"/>
            <wp:wrapNone/>
            <wp:docPr id="1073741825" name="officeArt object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screenshot of a computer programDescription automatically generated" descr="A screenshot of a computer program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73" cy="27826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spacing w:before="160" w:after="160"/>
        <w:jc w:val="center"/>
        <w:rPr>
          <w:i w:val="1"/>
          <w:iCs w:val="1"/>
          <w:outline w:val="0"/>
          <w:color w:val="a0a0a0"/>
          <w:sz w:val="20"/>
          <w:szCs w:val="20"/>
          <w:u w:color="a0a0a0"/>
          <w14:textFill>
            <w14:solidFill>
              <w14:srgbClr w14:val="A0A0A0"/>
            </w14:solidFill>
          </w14:textFill>
        </w:rPr>
      </w:pPr>
    </w:p>
    <w:p>
      <w:pPr>
        <w:pStyle w:val="Body"/>
        <w:spacing w:before="160" w:after="160"/>
        <w:jc w:val="center"/>
        <w:rPr>
          <w:i w:val="1"/>
          <w:iCs w:val="1"/>
          <w:outline w:val="0"/>
          <w:color w:val="a0a0a0"/>
          <w:sz w:val="20"/>
          <w:szCs w:val="20"/>
          <w:u w:color="a0a0a0"/>
          <w14:textFill>
            <w14:solidFill>
              <w14:srgbClr w14:val="A0A0A0"/>
            </w14:solidFill>
          </w14:textFill>
        </w:rPr>
      </w:pPr>
    </w:p>
    <w:p>
      <w:pPr>
        <w:pStyle w:val="Body"/>
        <w:spacing w:before="160" w:after="160"/>
        <w:jc w:val="center"/>
      </w:pPr>
      <w:r>
        <w:rPr>
          <w:i w:val="1"/>
          <w:iCs w:val="1"/>
          <w:outline w:val="0"/>
          <w:color w:val="a0a0a0"/>
          <w:sz w:val="20"/>
          <w:szCs w:val="20"/>
          <w:u w:color="a0a0a0"/>
          <w:rtl w:val="0"/>
          <w:lang w:val="en-US"/>
          <w14:textFill>
            <w14:solidFill>
              <w14:srgbClr w14:val="A0A0A0"/>
            </w14:solidFill>
          </w14:textFill>
        </w:rPr>
        <w:t>[ TC-01 validate_tc01.py terminal output screenshot ]</w:t>
      </w:r>
    </w:p>
    <w:p>
      <w:pPr>
        <w:pStyle w:val="Body"/>
        <w:spacing w:before="80" w:after="160"/>
        <w:jc w:val="center"/>
      </w:pPr>
      <w:r>
        <w:rPr>
          <w:i w:val="1"/>
          <w:iCs w:val="1"/>
          <w:outline w:val="0"/>
          <w:color w:val="505050"/>
          <w:sz w:val="20"/>
          <w:szCs w:val="20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>Figure 1. TC-01 validation output confirming PASS on all four criteria.</w:t>
      </w:r>
    </w:p>
    <w:p>
      <w:pPr>
        <w:pStyle w:val="Heading 2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2.4 Acceptance Verdict</w:t>
      </w:r>
    </w:p>
    <w:p>
      <w:pPr>
        <w:pStyle w:val="Body"/>
        <w:spacing w:after="120"/>
      </w:pPr>
      <w:r>
        <w:rPr>
          <w:rtl w:val="0"/>
          <w:lang w:val="en-US"/>
        </w:rPr>
        <w:t>TC-01 PASSED. The pipeline accepts a Chakra .et trace, simulates compute and communication phases in the correct dependency order, and records JCT, GPU time, and Comm time correctly. The 83.5 / 16.5 compute-to-communication split is consistent with expected GPT-2 training behaviour.</w:t>
      </w:r>
    </w:p>
    <w:p>
      <w:pPr>
        <w:pStyle w:val="Heading"/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3. TC-02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All-Reduce Baseline Sweep</w:t>
      </w:r>
    </w:p>
    <w:p>
      <w:pPr>
        <w:pStyle w:val="Heading 2"/>
      </w:pPr>
      <w:r>
        <w:rPr>
          <w:rFonts w:ascii="Times New Roman" w:hAnsi="Times New Roma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3.1 Objective</w:t>
      </w:r>
    </w:p>
    <w:p>
      <w:pPr>
        <w:pStyle w:val="Body"/>
        <w:spacing w:after="120"/>
      </w:pPr>
      <w:r>
        <w:rPr>
          <w:rtl w:val="0"/>
          <w:lang w:val="en-US"/>
        </w:rPr>
        <w:t>TC-02 requires that simulated ring all-reduce over the baseline analytical topology produces sensible bandwidth and latency scaling curves with no timeouts. This sweep constitutes the network-traffic baseline against which all later routing experiments will be compared.</w:t>
      </w:r>
    </w:p>
    <w:p>
      <w:pPr>
        <w:pStyle w:val="Heading 2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3.2 Methodology</w:t>
      </w:r>
    </w:p>
    <w:p>
      <w:pPr>
        <w:pStyle w:val="Body"/>
        <w:spacing w:after="120"/>
      </w:pPr>
      <w:r>
        <w:rPr>
          <w:rtl w:val="0"/>
          <w:lang w:val="en-US"/>
        </w:rPr>
        <w:t>Ring all-reduce microbenchmarks were executed across a three-point NPU sweep (4, 16, 64) at three message sizes derived from the Sprint 3 collective specification: 1 MB (diagnostic), 256 MB (GPT-2 124M BF16 gradient), and 512 MB (GPT-2 124M FP32 gradient). All nine simulations used the ASTRA-sim analytical backend with a Ring topology (50 GB/s, 500 ns latency). Collective synthesis followed the confirmed analytical approach: no live GPU cluster was required. TC-02 is evaluated on the two GPT-2 sizes only; the 1 MB run is retained as a diagnostic to verify algorithm correctness at small scale.</w:t>
      </w:r>
    </w:p>
    <w:p>
      <w:pPr>
        <w:pStyle w:val="Body"/>
        <w:spacing w:after="120"/>
      </w:pPr>
    </w:p>
    <w:p>
      <w:pPr>
        <w:pStyle w:val="Heading 2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3.3 Results</w:t>
      </w:r>
    </w:p>
    <w:tbl>
      <w:tblPr>
        <w:tblW w:w="88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44"/>
        <w:gridCol w:w="956"/>
        <w:gridCol w:w="2408"/>
        <w:gridCol w:w="2132"/>
        <w:gridCol w:w="1316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Message Size</w:t>
            </w:r>
          </w:p>
        </w:tc>
        <w:tc>
          <w:tcPr>
            <w:tcW w:type="dxa" w:w="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NPUs</w:t>
            </w:r>
          </w:p>
        </w:tc>
        <w:tc>
          <w:tcPr>
            <w:tcW w:type="dxa" w:w="2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Avg Comm (cycles)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Algo BW (B/cyc)</w:t>
            </w:r>
          </w:p>
        </w:tc>
        <w:tc>
          <w:tcPr>
            <w:tcW w:type="dxa" w:w="1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Ring Eff.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256 MB (BF16)</w:t>
            </w:r>
          </w:p>
        </w:tc>
        <w:tc>
          <w:tcPr>
            <w:tcW w:type="dxa" w:w="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398,542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673.54</w:t>
            </w:r>
          </w:p>
        </w:tc>
        <w:tc>
          <w:tcPr>
            <w:tcW w:type="dxa" w:w="1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1.5000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256 MB (BF16)</w:t>
            </w:r>
          </w:p>
        </w:tc>
        <w:tc>
          <w:tcPr>
            <w:tcW w:type="dxa" w:w="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2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1,159,300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231.55</w:t>
            </w:r>
          </w:p>
        </w:tc>
        <w:tc>
          <w:tcPr>
            <w:tcW w:type="dxa" w:w="1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1.8750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256 MB (BF16)</w:t>
            </w:r>
          </w:p>
        </w:tc>
        <w:tc>
          <w:tcPr>
            <w:tcW w:type="dxa" w:w="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64</w:t>
            </w:r>
          </w:p>
        </w:tc>
        <w:tc>
          <w:tcPr>
            <w:tcW w:type="dxa" w:w="2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3,446,957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77.88</w:t>
            </w:r>
          </w:p>
        </w:tc>
        <w:tc>
          <w:tcPr>
            <w:tcW w:type="dxa" w:w="1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1.9688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512 MB (FP32)</w:t>
            </w:r>
          </w:p>
        </w:tc>
        <w:tc>
          <w:tcPr>
            <w:tcW w:type="dxa" w:w="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3,630,842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147.86</w:t>
            </w:r>
          </w:p>
        </w:tc>
        <w:tc>
          <w:tcPr>
            <w:tcW w:type="dxa" w:w="1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1.5000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512 MB (FP32)</w:t>
            </w:r>
          </w:p>
        </w:tc>
        <w:tc>
          <w:tcPr>
            <w:tcW w:type="dxa" w:w="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2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4,539,234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118.27</w:t>
            </w:r>
          </w:p>
        </w:tc>
        <w:tc>
          <w:tcPr>
            <w:tcW w:type="dxa" w:w="1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1.8750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512 MB (FP32)</w:t>
            </w:r>
          </w:p>
        </w:tc>
        <w:tc>
          <w:tcPr>
            <w:tcW w:type="dxa" w:w="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64</w:t>
            </w:r>
          </w:p>
        </w:tc>
        <w:tc>
          <w:tcPr>
            <w:tcW w:type="dxa" w:w="2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7,554,490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71.07</w:t>
            </w:r>
          </w:p>
        </w:tc>
        <w:tc>
          <w:tcPr>
            <w:tcW w:type="dxa" w:w="13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1.9688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Body"/>
        <w:spacing w:before="80" w:after="160"/>
        <w:jc w:val="center"/>
      </w:pPr>
      <w:r>
        <w:rPr>
          <w:i w:val="1"/>
          <w:iCs w:val="1"/>
          <w:outline w:val="0"/>
          <w:color w:val="505050"/>
          <w:sz w:val="20"/>
          <w:szCs w:val="20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 xml:space="preserve">Table 2. TC-02 simulation results </w:t>
      </w:r>
      <w:r>
        <w:rPr>
          <w:i w:val="1"/>
          <w:iCs w:val="1"/>
          <w:outline w:val="0"/>
          <w:color w:val="505050"/>
          <w:sz w:val="20"/>
          <w:szCs w:val="20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 xml:space="preserve">— </w:t>
      </w:r>
      <w:r>
        <w:rPr>
          <w:i w:val="1"/>
          <w:iCs w:val="1"/>
          <w:outline w:val="0"/>
          <w:color w:val="505050"/>
          <w:sz w:val="20"/>
          <w:szCs w:val="20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>ring all-reduce at GPT-2 collective sizes.</w:t>
      </w:r>
    </w:p>
    <w:p>
      <w:pPr>
        <w:pStyle w:val="Body"/>
      </w:pP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-114300</wp:posOffset>
            </wp:positionH>
            <wp:positionV relativeFrom="line">
              <wp:posOffset>146108</wp:posOffset>
            </wp:positionV>
            <wp:extent cx="5673090" cy="5257166"/>
            <wp:effectExtent l="0" t="0" r="0" b="0"/>
            <wp:wrapNone/>
            <wp:docPr id="1073741826" name="officeArt object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screenshot of a computerDescription automatically generated" descr="A screenshot of a computer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52571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spacing w:before="160" w:after="160"/>
        <w:jc w:val="center"/>
      </w:pPr>
      <w:r>
        <w:rPr>
          <w:i w:val="1"/>
          <w:iCs w:val="1"/>
          <w:outline w:val="0"/>
          <w:color w:val="a0a0a0"/>
          <w:sz w:val="20"/>
          <w:szCs w:val="20"/>
          <w:u w:color="a0a0a0"/>
          <w:rtl w:val="0"/>
          <w:lang w:val="en-US"/>
          <w14:textFill>
            <w14:solidFill>
              <w14:srgbClr w14:val="A0A0A0"/>
            </w14:solidFill>
          </w14:textFill>
        </w:rPr>
        <w:t>[ TC-02 analyze_results.py terminal output screenshot ]</w:t>
      </w:r>
    </w:p>
    <w:p>
      <w:pPr>
        <w:pStyle w:val="Body"/>
        <w:spacing w:before="80" w:after="160"/>
        <w:jc w:val="center"/>
      </w:pPr>
      <w:r>
        <w:rPr>
          <w:i w:val="1"/>
          <w:iCs w:val="1"/>
          <w:outline w:val="0"/>
          <w:color w:val="505050"/>
          <w:sz w:val="20"/>
          <w:szCs w:val="20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>Figure 2. TC-02 analysis output showing bandwidth plateau and latency scaling.</w:t>
      </w:r>
    </w:p>
    <w:p>
      <w:pPr>
        <w:pStyle w:val="Body"/>
      </w:pPr>
    </w:p>
    <w:p>
      <w:pPr>
        <w:pStyle w:val="Heading 2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3.4 Validation</w:t>
      </w:r>
    </w:p>
    <w:p>
      <w:pPr>
        <w:pStyle w:val="Body"/>
        <w:spacing w:after="80"/>
      </w:pPr>
      <w:r>
        <w:rPr>
          <w:rtl w:val="0"/>
          <w:lang w:val="en-US"/>
        </w:rPr>
        <w:t>Both GPT-2 message sizes satisfy all TC-02 acceptance criteria: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Communication time grows monotonically as ring size increases from 4 to 64 NPUs.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Algorithm bandwidth does not scale linearly with N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it plateaus as predicted by the ring all-reduce bandwidth formula (bus BW = algo BW x 2(N-1)/N).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Ring efficiency values (1.5000, 1.8750, 1.9688) match theoretical predictions exactly, confirming correct algorithm implementation.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No errors or timeouts were recorded in any of the nine simulation runs.</w:t>
      </w:r>
    </w:p>
    <w:p>
      <w:pPr>
        <w:pStyle w:val="Body"/>
      </w:pPr>
    </w:p>
    <w:p>
      <w:pPr>
        <w:pStyle w:val="Body"/>
        <w:spacing w:after="120"/>
      </w:pPr>
      <w:r>
        <w:rPr>
          <w:rtl w:val="0"/>
          <w:lang w:val="en-US"/>
        </w:rPr>
        <w:t xml:space="preserve">A notable finding at 512 MB FP32 is that bus bandwidth at 4 NPUs (221.80 B/cyc) and 16 NPUs (221.76 B/cyc) is effectively identical, demonstrating bandwidth saturation at GPT-2 scale. This result quantifies the point at which adding ring nodes yields no throughput improvement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 key reference for Sprint 4 failure and routing experiments.</w:t>
      </w:r>
    </w:p>
    <w:p>
      <w:pPr>
        <w:pStyle w:val="Heading 2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3.5 Acceptance Verdict</w:t>
      </w:r>
    </w:p>
    <w:p>
      <w:pPr>
        <w:pStyle w:val="Body"/>
        <w:spacing w:after="120"/>
      </w:pPr>
      <w:r>
        <w:rPr>
          <w:rtl w:val="0"/>
          <w:lang w:val="en-US"/>
        </w:rPr>
        <w:t>TC-02 PASSED on both GPT-2 message sizes (256 MB BF16 and 512 MB FP32).</w:t>
      </w:r>
    </w:p>
    <w:p>
      <w:pPr>
        <w:pStyle w:val="Heading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 Code and Reproducibility</w:t>
      </w:r>
    </w:p>
    <w:p>
      <w:pPr>
        <w:pStyle w:val="Body"/>
        <w:spacing w:after="120"/>
      </w:pPr>
      <w:r>
        <w:rPr>
          <w:rtl w:val="0"/>
          <w:lang w:val="en-US"/>
        </w:rPr>
        <w:t>All simulation scripts, configuration files, and result logs have been committed to the group repository. The two relevant directories are self-contained and documented; any team member can reproduce the results by following the instructions in the respective README files.</w:t>
      </w:r>
    </w:p>
    <w:p>
      <w:pPr>
        <w:pStyle w:val="Body"/>
      </w:pPr>
    </w:p>
    <w:tbl>
      <w:tblPr>
        <w:tblW w:w="88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94"/>
        <w:gridCol w:w="5862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Directory</w:t>
            </w:r>
          </w:p>
        </w:tc>
        <w:tc>
          <w:tcPr>
            <w:tcW w:type="dxa" w:w="5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Contents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pod_b_traffic/</w:t>
            </w:r>
          </w:p>
        </w:tc>
        <w:tc>
          <w:tcPr>
            <w:tcW w:type="dxa" w:w="5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TC-02 sweep: workload generation, 9 simulations, analysis script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pod_a_pipeline/</w:t>
            </w:r>
          </w:p>
        </w:tc>
        <w:tc>
          <w:tcPr>
            <w:tcW w:type="dxa" w:w="5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TC-01 pipeline: trace generation, ASTRA-sim run, validation script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before="80" w:after="160"/>
        <w:jc w:val="center"/>
      </w:pPr>
      <w:r>
        <w:rPr>
          <w:i w:val="1"/>
          <w:iCs w:val="1"/>
          <w:outline w:val="0"/>
          <w:color w:val="505050"/>
          <w:sz w:val="20"/>
          <w:szCs w:val="20"/>
          <w:u w:color="505050"/>
          <w:rtl w:val="0"/>
          <w:lang w:val="en-US"/>
          <w14:textFill>
            <w14:solidFill>
              <w14:srgbClr w14:val="505050"/>
            </w14:solidFill>
          </w14:textFill>
        </w:rPr>
        <w:t>Table 3. Repository directories relevant to this sprint.</w:t>
      </w:r>
      <w:r/>
    </w:p>
    <w:sectPr>
      <w:headerReference w:type="default" r:id="rId6"/>
      <w:footerReference w:type="default" r:id="rId7"/>
      <w:pgSz w:w="12240" w:h="15840" w:orient="portrait"/>
      <w:pgMar w:top="1440" w:right="1800" w:bottom="1207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nl-NL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fr-FR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