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5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723900</wp:posOffset>
            </wp:positionV>
            <wp:extent cx="6908800" cy="9271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927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0"/>
        <w:ind w:left="77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FFFFFF"/>
          <w:sz w:val="26"/>
        </w:rPr>
        <w:t>U N I V E R S I T I  P E N D I D I K A N  S U L T A N  I D R I S</w:t>
      </w:r>
    </w:p>
    <w:p>
      <w:pPr>
        <w:autoSpaceDN w:val="0"/>
        <w:autoSpaceDE w:val="0"/>
        <w:widowControl/>
        <w:spacing w:line="233" w:lineRule="auto" w:before="1304" w:after="0"/>
        <w:ind w:left="774" w:right="0" w:firstLine="0"/>
        <w:jc w:val="left"/>
      </w:pPr>
      <w:r>
        <w:rPr>
          <w:rFonts w:ascii="Liberation Sans" w:hAnsi="Liberation Sans" w:eastAsia="Liberation Sans"/>
          <w:b/>
          <w:i w:val="0"/>
          <w:color w:val="FFFFFF"/>
          <w:sz w:val="72"/>
        </w:rPr>
        <w:t>SULUH SWARM</w:t>
      </w:r>
    </w:p>
    <w:p>
      <w:pPr>
        <w:autoSpaceDN w:val="0"/>
        <w:autoSpaceDE w:val="0"/>
        <w:widowControl/>
        <w:spacing w:line="233" w:lineRule="auto" w:before="328" w:after="0"/>
        <w:ind w:left="77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FFFFFF"/>
          <w:sz w:val="32"/>
        </w:rPr>
        <w:t>Product Requirements &amp; Technical Architecture</w:t>
      </w:r>
    </w:p>
    <w:p>
      <w:pPr>
        <w:autoSpaceDN w:val="0"/>
        <w:autoSpaceDE w:val="0"/>
        <w:widowControl/>
        <w:spacing w:line="230" w:lineRule="auto" w:before="966" w:after="0"/>
        <w:ind w:left="826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FFFFFF"/>
          <w:sz w:val="22"/>
        </w:rPr>
        <w:t>A sovereign, PDPA-compliant multi-agent AI orchestration and swarm intelligence platform for Malaysia's</w:t>
      </w:r>
    </w:p>
    <w:p>
      <w:pPr>
        <w:autoSpaceDN w:val="0"/>
        <w:autoSpaceDE w:val="0"/>
        <w:widowControl/>
        <w:spacing w:line="230" w:lineRule="auto" w:before="116" w:after="0"/>
        <w:ind w:left="774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FFFFFF"/>
          <w:sz w:val="22"/>
        </w:rPr>
        <w:t>higher education research community — delivered in 12 months with the existing team.</w:t>
      </w:r>
    </w:p>
    <w:p>
      <w:pPr>
        <w:sectPr>
          <w:pgSz w:w="11899" w:h="16838"/>
          <w:pgMar w:top="1440" w:right="17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072"/>
        <w:ind w:left="0" w:right="0"/>
      </w:pPr>
    </w:p>
    <w:p>
      <w:pPr>
        <w:sectPr>
          <w:pgSz w:w="11899" w:h="16838"/>
          <w:pgMar w:top="1440" w:right="1440" w:bottom="554" w:left="5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40"/>
        </w:rPr>
        <w:t>Table of Contents</w:t>
      </w:r>
    </w:p>
    <w:p>
      <w:pPr>
        <w:autoSpaceDN w:val="0"/>
        <w:tabs>
          <w:tab w:pos="200" w:val="left"/>
        </w:tabs>
        <w:autoSpaceDE w:val="0"/>
        <w:widowControl/>
        <w:spacing w:line="343" w:lineRule="auto" w:before="858" w:after="0"/>
        <w:ind w:left="0" w:right="576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22"/>
        </w:rPr>
        <w:t xml:space="preserve">Strategic Summary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>Expected Impact at Full Deployment (Month 12)</w:t>
      </w:r>
    </w:p>
    <w:p>
      <w:pPr>
        <w:autoSpaceDN w:val="0"/>
        <w:autoSpaceDE w:val="0"/>
        <w:widowControl/>
        <w:spacing w:line="413" w:lineRule="auto" w:before="286" w:after="0"/>
        <w:ind w:left="200" w:right="6480" w:hanging="20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22"/>
        </w:rPr>
        <w:t xml:space="preserve">Executive Briefing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The Strategic Case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What We Are Building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Delivery Plan at a Glance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Top Risks and How We Manage Them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>Approval Ask</w:t>
      </w:r>
    </w:p>
    <w:p>
      <w:pPr>
        <w:autoSpaceDN w:val="0"/>
        <w:autoSpaceDE w:val="0"/>
        <w:widowControl/>
        <w:spacing w:line="406" w:lineRule="auto" w:before="302" w:after="0"/>
        <w:ind w:left="200" w:right="5184" w:hanging="20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22"/>
        </w:rPr>
        <w:t xml:space="preserve">The Business Case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Current-State Time Cost — Where the Hours Go Today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Projected Savings — Three Scenarios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Translating Hours into Strategic Value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>Value Beyond Hours Saved</w:t>
      </w:r>
    </w:p>
    <w:p>
      <w:pPr>
        <w:autoSpaceDN w:val="0"/>
        <w:autoSpaceDE w:val="0"/>
        <w:widowControl/>
        <w:spacing w:line="394" w:lineRule="auto" w:before="288" w:after="0"/>
        <w:ind w:left="200" w:right="6192" w:hanging="20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22"/>
        </w:rPr>
        <w:t xml:space="preserve">Why Now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Four Forces Make 2026 the Decision Year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The Cost of Delay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>Strategic Alignment</w:t>
      </w:r>
    </w:p>
    <w:p>
      <w:pPr>
        <w:autoSpaceDN w:val="0"/>
        <w:autoSpaceDE w:val="0"/>
        <w:widowControl/>
        <w:spacing w:line="394" w:lineRule="auto" w:before="302" w:after="0"/>
        <w:ind w:left="200" w:right="4464" w:hanging="20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22"/>
        </w:rPr>
        <w:t xml:space="preserve">A Day in the Life — Before &amp; After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Scenario 1 — Researcher: Deploying a Multi-Agent Experiment </w:t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Scenario 2 — Lab Director: Monitoring Distributed Swarm Jobs </w:t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>Scenario 3 — IRB Reviewer: Auditing Agent Decisions</w:t>
      </w:r>
    </w:p>
    <w:p>
      <w:pPr>
        <w:autoSpaceDN w:val="0"/>
        <w:autoSpaceDE w:val="0"/>
        <w:widowControl/>
        <w:spacing w:line="406" w:lineRule="auto" w:before="286" w:after="0"/>
        <w:ind w:left="200" w:right="7056" w:hanging="20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22"/>
        </w:rPr>
        <w:t xml:space="preserve">Investment &amp; Team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Investment Structure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Delivery Team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Governance Model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>What We Need From Leadership</w:t>
      </w:r>
    </w:p>
    <w:p>
      <w:pPr>
        <w:autoSpaceDN w:val="0"/>
        <w:autoSpaceDE w:val="0"/>
        <w:widowControl/>
        <w:spacing w:line="372" w:lineRule="auto" w:before="302" w:after="0"/>
        <w:ind w:left="200" w:right="6480" w:hanging="20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22"/>
        </w:rPr>
        <w:t xml:space="preserve">Product Vision &amp; Design Principles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Vision Statement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>Seven Immutable Design Principles</w:t>
      </w:r>
    </w:p>
    <w:p>
      <w:pPr>
        <w:sectPr>
          <w:pgSz w:w="11899" w:h="16838"/>
          <w:pgMar w:top="602" w:right="972" w:bottom="646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0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>User Groups &amp; AI Use Cases</w:t>
      </w:r>
    </w:p>
    <w:p>
      <w:pPr>
        <w:autoSpaceDN w:val="0"/>
        <w:autoSpaceDE w:val="0"/>
        <w:widowControl/>
        <w:spacing w:line="394" w:lineRule="auto" w:before="286" w:after="0"/>
        <w:ind w:left="200" w:right="6048" w:hanging="20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22"/>
        </w:rPr>
        <w:t xml:space="preserve">System Architecture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Four-Tier Intranet-First Design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Tier Definitions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>Failure Modes &amp; Graceful Degradation</w:t>
      </w:r>
    </w:p>
    <w:p>
      <w:pPr>
        <w:autoSpaceDN w:val="0"/>
        <w:autoSpaceDE w:val="0"/>
        <w:widowControl/>
        <w:spacing w:line="372" w:lineRule="auto" w:before="302" w:after="0"/>
        <w:ind w:left="200" w:right="6336" w:hanging="20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22"/>
        </w:rPr>
        <w:t xml:space="preserve">Query Routing &amp; AI Intelligence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Routing Decision Tree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>Routing Logic</w:t>
      </w:r>
    </w:p>
    <w:p>
      <w:pPr>
        <w:autoSpaceDN w:val="0"/>
        <w:autoSpaceDE w:val="0"/>
        <w:widowControl/>
        <w:spacing w:line="394" w:lineRule="auto" w:before="302" w:after="0"/>
        <w:ind w:left="200" w:right="3888" w:hanging="20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22"/>
        </w:rPr>
        <w:t xml:space="preserve">Hardware &amp; Model Strategy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Distributed EXO Inference Cluster — 5 Nodes · 1,280 GB Pooled </w:t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What Edge Deployment Unlocks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>Updated Model Stack</w:t>
      </w:r>
    </w:p>
    <w:p>
      <w:pPr>
        <w:autoSpaceDN w:val="0"/>
        <w:tabs>
          <w:tab w:pos="200" w:val="left"/>
        </w:tabs>
        <w:autoSpaceDE w:val="0"/>
        <w:widowControl/>
        <w:spacing w:line="343" w:lineRule="auto" w:before="288" w:after="0"/>
        <w:ind w:left="0" w:right="5328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22"/>
        </w:rPr>
        <w:t xml:space="preserve">Hybrid RAG &amp; Document Intelligence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>Document Intelligence Pipeline (IBM Docling)</w:t>
      </w:r>
    </w:p>
    <w:p>
      <w:pPr>
        <w:autoSpaceDN w:val="0"/>
        <w:tabs>
          <w:tab w:pos="200" w:val="left"/>
        </w:tabs>
        <w:autoSpaceDE w:val="0"/>
        <w:widowControl/>
        <w:spacing w:line="343" w:lineRule="auto" w:before="286" w:after="0"/>
        <w:ind w:left="0" w:right="432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22"/>
        </w:rPr>
        <w:t xml:space="preserve">Agentic Workflows (LangGraph + Nemotron-3 Super)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>Why Use LangGraph for Suluh Swarm?</w:t>
      </w:r>
    </w:p>
    <w:p>
      <w:pPr>
        <w:autoSpaceDN w:val="0"/>
        <w:autoSpaceDE w:val="0"/>
        <w:widowControl/>
        <w:spacing w:line="394" w:lineRule="auto" w:before="214" w:after="0"/>
        <w:ind w:left="200" w:right="5184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Workflow 1 — Multi-Agent Swarm Orchestration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Workflow 2 — Research Experiment Automation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Workflow 3 — IRB Compliance Auditing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>Agent Guardrails — Mandatory</w:t>
      </w:r>
    </w:p>
    <w:p>
      <w:pPr>
        <w:autoSpaceDN w:val="0"/>
        <w:autoSpaceDE w:val="0"/>
        <w:widowControl/>
        <w:spacing w:line="406" w:lineRule="auto" w:before="286" w:after="0"/>
        <w:ind w:left="200" w:right="6480" w:hanging="20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22"/>
        </w:rPr>
        <w:t xml:space="preserve">Security &amp; Compliance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PDPA Data Classification Model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IRB Research Ethics Controls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Network Perimeter Controls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>Mandatory Audit Log Events</w:t>
      </w:r>
    </w:p>
    <w:p>
      <w:pPr>
        <w:autoSpaceDN w:val="0"/>
        <w:autoSpaceDE w:val="0"/>
        <w:widowControl/>
        <w:spacing w:line="394" w:lineRule="auto" w:before="302" w:after="0"/>
        <w:ind w:left="200" w:right="5616" w:hanging="20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22"/>
        </w:rPr>
        <w:t xml:space="preserve">Delivery Roadmap &amp; Success Metrics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Phase Gates — Exit Criteria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Agentic Engineering Priority Task Sequence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>Success Metrics by Milestone</w:t>
      </w:r>
    </w:p>
    <w:p>
      <w:pPr>
        <w:autoSpaceDN w:val="0"/>
        <w:autoSpaceDE w:val="0"/>
        <w:widowControl/>
        <w:spacing w:line="230" w:lineRule="auto" w:before="288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22"/>
        </w:rPr>
        <w:t>Risk Register</w:t>
      </w:r>
    </w:p>
    <w:p>
      <w:pPr>
        <w:autoSpaceDN w:val="0"/>
        <w:autoSpaceDE w:val="0"/>
        <w:widowControl/>
        <w:spacing w:line="230" w:lineRule="auto" w:before="31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22"/>
        </w:rPr>
        <w:t>Appendix</w:t>
      </w:r>
    </w:p>
    <w:p>
      <w:pPr>
        <w:sectPr>
          <w:pgSz w:w="11899" w:h="16838"/>
          <w:pgMar w:top="588" w:right="1440" w:bottom="734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394" w:lineRule="auto" w:before="0" w:after="0"/>
        <w:ind w:left="0" w:right="4464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A. Glossary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B. Open Questions — Resolution Required Before Phase 1 </w:t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 xml:space="preserve">C. Technology Track Record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0"/>
        </w:rPr>
        <w:t>D. Why This Approach vs Alternatives</w:t>
      </w:r>
    </w:p>
    <w:p>
      <w:pPr>
        <w:sectPr>
          <w:pgSz w:w="11899" w:h="16838"/>
          <w:pgMar w:top="588" w:right="1440" w:bottom="1440" w:left="12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Strategic Summary</w:t>
      </w:r>
    </w:p>
    <w:p>
      <w:pPr>
        <w:autoSpaceDN w:val="0"/>
        <w:autoSpaceDE w:val="0"/>
        <w:widowControl/>
        <w:spacing w:line="230" w:lineRule="auto" w:before="54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36"/>
        </w:rPr>
        <w:t>Strategic Summary</w:t>
      </w:r>
    </w:p>
    <w:p>
      <w:pPr>
        <w:autoSpaceDN w:val="0"/>
        <w:autoSpaceDE w:val="0"/>
        <w:widowControl/>
        <w:spacing w:line="230" w:lineRule="auto" w:before="43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Everything leadership needs in a single page.</w:t>
      </w:r>
    </w:p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The Proposition</w:t>
      </w:r>
    </w:p>
    <w:p>
      <w:pPr>
        <w:autoSpaceDN w:val="0"/>
        <w:autoSpaceDE w:val="0"/>
        <w:widowControl/>
        <w:spacing w:line="286" w:lineRule="auto" w:before="242" w:after="194"/>
        <w:ind w:left="0" w:right="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Equip UPSI's research community with a sovereign multi-agent AI orchestration platform that enables researchers to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compose, deploy, and monitor collaborative AI agent swarms for complex research tasks — entirely within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Malaysia's data sovereignty boundary. Twelve months. On-premise and edge-distributed. 1,280 GB AI compute.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PDPA and IRB-compliant. Delivered by the existing team.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3302"/>
        <w:gridCol w:w="3302"/>
        <w:gridCol w:w="3302"/>
      </w:tblGrid>
      <w:tr>
        <w:trPr>
          <w:trHeight w:hRule="exact" w:val="152"/>
        </w:trPr>
        <w:tc>
          <w:tcPr>
            <w:tcW w:type="dxa" w:w="3316"/>
            <w:tcBorders>
              <w:start w:sz="17.599999999999966" w:val="single" w:color="#2B5364"/>
              <w:bottom w:sz="12.0" w:val="single" w:color="#333333"/>
            </w:tcBorders>
            <w:shd w:fill="f5f7fa"/>
            <w:tcMar>
              <w:start w:w="0" w:type="dxa"/>
              <w:end w:w="0" w:type="dxa"/>
            </w:tcMar>
          </w:tcPr>
          <w:p/>
        </w:tc>
        <w:tc>
          <w:tcPr>
            <w:tcW w:type="dxa" w:w="3040"/>
            <w:tcBorders>
              <w:bottom w:sz="12.0" w:val="single" w:color="#333333"/>
            </w:tcBorders>
            <w:shd w:fill="f5f7fa"/>
            <w:tcMar>
              <w:start w:w="0" w:type="dxa"/>
              <w:end w:w="0" w:type="dxa"/>
            </w:tcMar>
          </w:tcPr>
          <w:p/>
        </w:tc>
        <w:tc>
          <w:tcPr>
            <w:tcW w:type="dxa" w:w="3358"/>
            <w:tcBorders>
              <w:bottom w:sz="12.0" w:val="single" w:color="#333333"/>
            </w:tcBorders>
            <w:shd w:fill="f5f7fa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8"/>
        </w:trPr>
        <w:tc>
          <w:tcPr>
            <w:tcW w:type="dxa" w:w="3316"/>
            <w:tcBorders>
              <w:start w:sz="17.599999999999966" w:val="single" w:color="#2B5364"/>
              <w:top w:sz="12.0" w:val="single" w:color="#333333"/>
              <w:bottom w:sz="5.600000000000136" w:val="single" w:color="#333333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22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SOVEREIGNTY</w:t>
            </w:r>
          </w:p>
        </w:tc>
        <w:tc>
          <w:tcPr>
            <w:tcW w:type="dxa" w:w="3040"/>
            <w:tcBorders>
              <w:top w:sz="12.0" w:val="single" w:color="#333333"/>
              <w:bottom w:sz="5.600000000000136" w:val="single" w:color="#333333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1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MULTI-AGENT</w:t>
            </w:r>
          </w:p>
        </w:tc>
        <w:tc>
          <w:tcPr>
            <w:tcW w:type="dxa" w:w="3358"/>
            <w:tcBorders>
              <w:top w:sz="12.0" w:val="single" w:color="#333333"/>
              <w:bottom w:sz="5.600000000000136" w:val="single" w:color="#333333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CONTROL</w:t>
            </w:r>
          </w:p>
        </w:tc>
      </w:tr>
      <w:tr>
        <w:trPr>
          <w:trHeight w:hRule="exact" w:val="308"/>
        </w:trPr>
        <w:tc>
          <w:tcPr>
            <w:tcW w:type="dxa" w:w="3316"/>
            <w:tcBorders>
              <w:start w:sz="17.599999999999966" w:val="single" w:color="#2B5364"/>
              <w:top w:sz="5.600000000000136" w:val="single" w:color="#333333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2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100% on-premise with edge distribution.</w:t>
            </w:r>
          </w:p>
        </w:tc>
        <w:tc>
          <w:tcPr>
            <w:tcW w:type="dxa" w:w="3040"/>
            <w:tcBorders>
              <w:top w:sz="5.600000000000136" w:val="single" w:color="#333333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Researchers compose agent teams</w:t>
            </w:r>
          </w:p>
        </w:tc>
        <w:tc>
          <w:tcPr>
            <w:tcW w:type="dxa" w:w="3358"/>
            <w:tcBorders>
              <w:top w:sz="5.600000000000136" w:val="single" w:color="#333333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Read-only by design for production</w:t>
            </w:r>
          </w:p>
        </w:tc>
      </w:tr>
      <w:tr>
        <w:trPr>
          <w:trHeight w:hRule="exact" w:val="260"/>
        </w:trPr>
        <w:tc>
          <w:tcPr>
            <w:tcW w:type="dxa" w:w="3316"/>
            <w:tcBorders>
              <w:start w:sz="17.599999999999966" w:val="single" w:color="#2B5364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2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All research data, agent interactions, and</w:t>
            </w:r>
          </w:p>
        </w:tc>
        <w:tc>
          <w:tcPr>
            <w:tcW w:type="dxa" w:w="3040"/>
            <w:tcBorders/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1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("swarms") that collaborate</w:t>
            </w:r>
          </w:p>
        </w:tc>
        <w:tc>
          <w:tcPr>
            <w:tcW w:type="dxa" w:w="3358"/>
            <w:tcBorders/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systems. Every agent action is logged,</w:t>
            </w:r>
          </w:p>
        </w:tc>
      </w:tr>
      <w:tr>
        <w:trPr>
          <w:trHeight w:hRule="exact" w:val="260"/>
        </w:trPr>
        <w:tc>
          <w:tcPr>
            <w:tcW w:type="dxa" w:w="3316"/>
            <w:tcBorders>
              <w:start w:sz="17.599999999999966" w:val="single" w:color="#2B5364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2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model weights remain within UPSI's</w:t>
            </w:r>
          </w:p>
        </w:tc>
        <w:tc>
          <w:tcPr>
            <w:tcW w:type="dxa" w:w="3040"/>
            <w:tcBorders/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1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autonomously on literature review,</w:t>
            </w:r>
          </w:p>
        </w:tc>
        <w:tc>
          <w:tcPr>
            <w:tcW w:type="dxa" w:w="3358"/>
            <w:tcBorders/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attributable, and reversible. Built for IRB</w:t>
            </w:r>
          </w:p>
        </w:tc>
      </w:tr>
      <w:tr>
        <w:trPr>
          <w:trHeight w:hRule="exact" w:val="280"/>
        </w:trPr>
        <w:tc>
          <w:tcPr>
            <w:tcW w:type="dxa" w:w="3316"/>
            <w:tcBorders>
              <w:start w:sz="17.599999999999966" w:val="single" w:color="#2B5364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2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network perimeter and Malaysian</w:t>
            </w:r>
          </w:p>
        </w:tc>
        <w:tc>
          <w:tcPr>
            <w:tcW w:type="dxa" w:w="3040"/>
            <w:tcBorders/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1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experiment design, data analysis, and</w:t>
            </w:r>
          </w:p>
        </w:tc>
        <w:tc>
          <w:tcPr>
            <w:tcW w:type="dxa" w:w="3358"/>
            <w:vMerge w:val="restart"/>
            <w:tcBorders>
              <w:bottom w:sz="12.0" w:val="single" w:color="#333333"/>
            </w:tcBorders>
            <w:shd w:fill="f5f7f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26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audit and research reproducibility.</w:t>
            </w:r>
          </w:p>
        </w:tc>
      </w:tr>
      <w:tr>
        <w:trPr>
          <w:trHeight w:hRule="exact" w:val="240"/>
        </w:trPr>
        <w:tc>
          <w:tcPr>
            <w:tcW w:type="dxa" w:w="3316"/>
            <w:tcBorders>
              <w:start w:sz="17.599999999999966" w:val="single" w:color="#2B5364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jurisdiction. PDPA and IRB compliance</w:t>
            </w:r>
          </w:p>
        </w:tc>
        <w:tc>
          <w:tcPr>
            <w:tcW w:type="dxa" w:w="3040"/>
            <w:tcBorders/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report generation — all traceable and</w:t>
            </w:r>
          </w:p>
        </w:tc>
        <w:tc>
          <w:tcPr>
            <w:tcW w:type="dxa" w:w="3302"/>
            <w:vMerge/>
            <w:tcBorders>
              <w:bottom w:sz="12.0" w:val="single" w:color="#333333"/>
            </w:tcBorders>
          </w:tcPr>
          <w:p/>
        </w:tc>
      </w:tr>
      <w:tr>
        <w:trPr>
          <w:trHeight w:hRule="exact" w:val="372"/>
        </w:trPr>
        <w:tc>
          <w:tcPr>
            <w:tcW w:type="dxa" w:w="3316"/>
            <w:tcBorders>
              <w:start w:sz="17.599999999999966" w:val="single" w:color="#2B5364"/>
              <w:bottom w:sz="12.0" w:val="single" w:color="#333333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2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by architecture.</w:t>
            </w:r>
          </w:p>
        </w:tc>
        <w:tc>
          <w:tcPr>
            <w:tcW w:type="dxa" w:w="3040"/>
            <w:tcBorders>
              <w:bottom w:sz="12.0" w:val="single" w:color="#333333"/>
            </w:tcBorders>
            <w:shd w:fill="f5f7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1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auditable.</w:t>
            </w:r>
          </w:p>
        </w:tc>
        <w:tc>
          <w:tcPr>
            <w:tcW w:type="dxa" w:w="3302"/>
            <w:vMerge/>
            <w:tcBorders>
              <w:bottom w:sz="12.0" w:val="single" w:color="#333333"/>
            </w:tcBorders>
          </w:tcPr>
          <w:p/>
        </w:tc>
      </w:tr>
      <w:tr>
        <w:trPr>
          <w:trHeight w:hRule="exact" w:val="164"/>
        </w:trPr>
        <w:tc>
          <w:tcPr>
            <w:tcW w:type="dxa" w:w="3316"/>
            <w:tcBorders>
              <w:start w:sz="17.599999999999966" w:val="single" w:color="#2B5364"/>
              <w:top w:sz="12.0" w:val="single" w:color="#333333"/>
            </w:tcBorders>
            <w:shd w:fill="f5f7fa"/>
            <w:tcMar>
              <w:start w:w="0" w:type="dxa"/>
              <w:end w:w="0" w:type="dxa"/>
            </w:tcMar>
          </w:tcPr>
          <w:p/>
        </w:tc>
        <w:tc>
          <w:tcPr>
            <w:tcW w:type="dxa" w:w="3040"/>
            <w:tcBorders>
              <w:top w:sz="12.0" w:val="single" w:color="#333333"/>
            </w:tcBorders>
            <w:shd w:fill="f5f7fa"/>
            <w:tcMar>
              <w:start w:w="0" w:type="dxa"/>
              <w:end w:w="0" w:type="dxa"/>
            </w:tcMar>
          </w:tcPr>
          <w:p/>
        </w:tc>
        <w:tc>
          <w:tcPr>
            <w:tcW w:type="dxa" w:w="3358"/>
            <w:tcBorders>
              <w:top w:sz="12.0" w:val="single" w:color="#333333"/>
            </w:tcBorders>
            <w:shd w:fill="f5f7fa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328" w:after="82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Expected Impact at Full Deployment (Month 12)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646"/>
        </w:trPr>
        <w:tc>
          <w:tcPr>
            <w:tcW w:type="dxa" w:w="1778"/>
            <w:tcBorders>
              <w:top w:sz="6.399999999999636" w:val="single" w:color="#CCCCCC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78"/>
            </w:tblGrid>
            <w:tr>
              <w:trPr>
                <w:trHeight w:hRule="exact" w:val="430"/>
              </w:trPr>
              <w:tc>
                <w:tcPr>
                  <w:tcW w:type="dxa" w:w="1178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24" w:after="0"/>
                    <w:ind w:left="86" w:right="0" w:firstLine="0"/>
                    <w:jc w:val="left"/>
                  </w:pPr>
                  <w:r>
                    <w:rPr>
                      <w:rFonts w:ascii="Liberation Serif" w:hAnsi="Liberation Serif" w:eastAsia="Liberation Serif"/>
                      <w:b/>
                      <w:i w:val="0"/>
                      <w:color w:val="333333"/>
                      <w:sz w:val="18"/>
                    </w:rPr>
                    <w:t>Metric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00"/>
            <w:tcBorders>
              <w:top w:sz="6.399999999999636" w:val="single" w:color="#CCCCCC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4" w:after="0"/>
              <w:ind w:left="14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Target</w:t>
            </w:r>
          </w:p>
        </w:tc>
        <w:tc>
          <w:tcPr>
            <w:tcW w:type="dxa" w:w="6508"/>
            <w:tcBorders>
              <w:top w:sz="6.399999999999636" w:val="single" w:color="#CCCCCC"/>
              <w:bottom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4" w:after="0"/>
              <w:ind w:left="26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Description</w:t>
            </w:r>
          </w:p>
        </w:tc>
      </w:tr>
      <w:tr>
        <w:trPr>
          <w:trHeight w:hRule="exact" w:val="314"/>
        </w:trPr>
        <w:tc>
          <w:tcPr>
            <w:tcW w:type="dxa" w:w="177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Productivity</w:t>
            </w:r>
          </w:p>
        </w:tc>
        <w:tc>
          <w:tcPr>
            <w:tcW w:type="dxa" w:w="1600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15,000 – 35,000</w:t>
            </w:r>
          </w:p>
        </w:tc>
        <w:tc>
          <w:tcPr>
            <w:tcW w:type="dxa" w:w="650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26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Equivalent to 8–18 FTE researchers returned to higher-value work.</w:t>
            </w:r>
          </w:p>
        </w:tc>
      </w:tr>
      <w:tr>
        <w:trPr>
          <w:trHeight w:hRule="exact" w:val="338"/>
        </w:trPr>
        <w:tc>
          <w:tcPr>
            <w:tcW w:type="dxa" w:w="1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Reclaimed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1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hours / year</w:t>
            </w:r>
          </w:p>
        </w:tc>
        <w:tc>
          <w:tcPr>
            <w:tcW w:type="dxa" w:w="65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26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Daily active usage across research officers, postdocs, graduate students, and lab</w:t>
            </w:r>
          </w:p>
        </w:tc>
      </w:tr>
      <w:tr>
        <w:trPr>
          <w:trHeight w:hRule="exact" w:val="322"/>
        </w:trPr>
        <w:tc>
          <w:tcPr>
            <w:tcW w:type="dxa" w:w="1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Adoption Target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75% of target</w:t>
            </w:r>
          </w:p>
        </w:tc>
        <w:tc>
          <w:tcPr>
            <w:tcW w:type="dxa" w:w="330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7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Swarm Task Success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1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 staff</w:t>
            </w:r>
          </w:p>
        </w:tc>
        <w:tc>
          <w:tcPr>
            <w:tcW w:type="dxa" w:w="6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26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directors — measured via login telemetry.</w:t>
            </w:r>
          </w:p>
        </w:tc>
      </w:tr>
      <w:tr>
        <w:trPr>
          <w:trHeight w:hRule="exact" w:val="320"/>
        </w:trPr>
        <w:tc>
          <w:tcPr>
            <w:tcW w:type="dxa" w:w="3302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90%</w:t>
            </w:r>
          </w:p>
        </w:tc>
        <w:tc>
          <w:tcPr>
            <w:tcW w:type="dxa" w:w="6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Multi-agent workflows complete successfully without human intervention on first</w:t>
            </w:r>
          </w:p>
        </w:tc>
      </w:tr>
      <w:tr>
        <w:trPr>
          <w:trHeight w:hRule="exact" w:val="332"/>
        </w:trPr>
        <w:tc>
          <w:tcPr>
            <w:tcW w:type="dxa" w:w="1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Rate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6" w:after="0"/>
              <w:ind w:left="1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93%</w:t>
            </w:r>
          </w:p>
        </w:tc>
        <w:tc>
          <w:tcPr>
            <w:tcW w:type="dxa" w:w="6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26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attempt.</w:t>
            </w:r>
          </w:p>
        </w:tc>
      </w:tr>
      <w:tr>
        <w:trPr>
          <w:trHeight w:hRule="exact" w:val="328"/>
        </w:trPr>
        <w:tc>
          <w:tcPr>
            <w:tcW w:type="dxa" w:w="1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Agent Decision</w:t>
            </w:r>
          </w:p>
        </w:tc>
        <w:tc>
          <w:tcPr>
            <w:tcW w:type="dxa" w:w="3302"/>
            <w:vMerge/>
            <w:tcBorders/>
          </w:tcPr>
          <w:p/>
        </w:tc>
        <w:tc>
          <w:tcPr>
            <w:tcW w:type="dxa" w:w="6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26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Agent recommendations and research outputs validated against human expert review</w:t>
            </w:r>
          </w:p>
        </w:tc>
      </w:tr>
      <w:tr>
        <w:trPr>
          <w:trHeight w:hRule="exact" w:val="336"/>
        </w:trPr>
        <w:tc>
          <w:tcPr>
            <w:tcW w:type="dxa" w:w="1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Accuracy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8" w:after="0"/>
              <w:ind w:left="1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100%</w:t>
            </w:r>
          </w:p>
        </w:tc>
        <w:tc>
          <w:tcPr>
            <w:tcW w:type="dxa" w:w="6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26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on golden evaluation set.</w:t>
            </w:r>
          </w:p>
        </w:tc>
      </w:tr>
      <w:tr>
        <w:trPr>
          <w:trHeight w:hRule="exact" w:val="324"/>
        </w:trPr>
        <w:tc>
          <w:tcPr>
            <w:tcW w:type="dxa" w:w="1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IRB Compliance</w:t>
            </w:r>
          </w:p>
        </w:tc>
        <w:tc>
          <w:tcPr>
            <w:tcW w:type="dxa" w:w="3302"/>
            <w:vMerge/>
            <w:tcBorders/>
          </w:tcPr>
          <w:p/>
        </w:tc>
        <w:tc>
          <w:tcPr>
            <w:tcW w:type="dxa" w:w="6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26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Every agent action involving human-subject research data passes through IRB ethics</w:t>
            </w:r>
          </w:p>
        </w:tc>
      </w:tr>
      <w:tr>
        <w:trPr>
          <w:trHeight w:hRule="exact" w:val="336"/>
        </w:trPr>
        <w:tc>
          <w:tcPr>
            <w:tcW w:type="dxa" w:w="1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Coverage</w:t>
            </w:r>
          </w:p>
        </w:tc>
        <w:tc>
          <w:tcPr>
            <w:tcW w:type="dxa" w:w="1600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8" w:after="0"/>
              <w:ind w:left="1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Under 3 seconds</w:t>
            </w:r>
          </w:p>
        </w:tc>
        <w:tc>
          <w:tcPr>
            <w:tcW w:type="dxa" w:w="6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26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gate. Zero exceptions.</w:t>
            </w:r>
          </w:p>
        </w:tc>
      </w:tr>
      <w:tr>
        <w:trPr>
          <w:trHeight w:hRule="exact" w:val="428"/>
        </w:trPr>
        <w:tc>
          <w:tcPr>
            <w:tcW w:type="dxa" w:w="177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Response Latency</w:t>
            </w:r>
          </w:p>
        </w:tc>
        <w:tc>
          <w:tcPr>
            <w:tcW w:type="dxa" w:w="3302"/>
            <w:vMerge/>
            <w:tcBorders>
              <w:bottom w:sz="12.0" w:val="single" w:color="#333333"/>
            </w:tcBorders>
          </w:tcPr>
          <w:p/>
        </w:tc>
        <w:tc>
          <w:tcPr>
            <w:tcW w:type="dxa" w:w="650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26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Median response time on the 1,280 GB distributed cluster.</w:t>
            </w:r>
          </w:p>
        </w:tc>
      </w:tr>
    </w:tbl>
    <w:p>
      <w:pPr>
        <w:autoSpaceDN w:val="0"/>
        <w:autoSpaceDE w:val="0"/>
        <w:widowControl/>
        <w:spacing w:line="230" w:lineRule="auto" w:before="320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The Ask — Approve Phase 0: A 2-Month Validation Sprint</w:t>
      </w:r>
    </w:p>
    <w:p>
      <w:pPr>
        <w:autoSpaceDN w:val="0"/>
        <w:autoSpaceDE w:val="0"/>
        <w:widowControl/>
        <w:spacing w:line="286" w:lineRule="auto" w:before="242" w:after="0"/>
        <w:ind w:left="0" w:right="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Phase 0 proves the technical prerequisites (SSO integration, bilingual model benchmark, agent registry prototype,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IRB workflow validation) before any production capability is built. Phase 1 approval will be requested at the Phase 0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exit gate, with the benchmark report and validation results in hand. Full investment, timeline, and governance detail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throughout this document.</w:t>
      </w:r>
    </w:p>
    <w:p>
      <w:pPr>
        <w:autoSpaceDN w:val="0"/>
        <w:autoSpaceDE w:val="0"/>
        <w:widowControl/>
        <w:spacing w:line="233" w:lineRule="auto" w:before="2216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6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Executive Briefing</w:t>
      </w:r>
    </w:p>
    <w:p>
      <w:pPr>
        <w:autoSpaceDN w:val="0"/>
        <w:autoSpaceDE w:val="0"/>
        <w:widowControl/>
        <w:spacing w:line="230" w:lineRule="auto" w:before="54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36"/>
        </w:rPr>
        <w:t>Executive Briefing</w:t>
      </w:r>
    </w:p>
    <w:p>
      <w:pPr>
        <w:autoSpaceDN w:val="0"/>
        <w:autoSpaceDE w:val="0"/>
        <w:widowControl/>
        <w:spacing w:line="264" w:lineRule="auto" w:before="43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 xml:space="preserve">For senior leadership — a self-contained overview of the programme's rationale, scope, delivery plan, and approval ask. </w:t>
      </w:r>
      <w:r>
        <w:rPr>
          <w:rFonts w:ascii="Liberation Serif" w:hAnsi="Liberation Serif" w:eastAsia="Liberation Serif"/>
          <w:b w:val="0"/>
          <w:i/>
          <w:color w:val="555555"/>
          <w:sz w:val="20"/>
        </w:rPr>
        <w:t>Detailed technical specifications begin at Section 8.</w:t>
      </w:r>
    </w:p>
    <w:p>
      <w:pPr>
        <w:autoSpaceDN w:val="0"/>
        <w:autoSpaceDE w:val="0"/>
        <w:widowControl/>
        <w:spacing w:line="233" w:lineRule="auto" w:before="37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The Bottom Line</w:t>
      </w:r>
    </w:p>
    <w:p>
      <w:pPr>
        <w:autoSpaceDN w:val="0"/>
        <w:autoSpaceDE w:val="0"/>
        <w:widowControl/>
        <w:spacing w:line="290" w:lineRule="auto" w:before="226" w:after="0"/>
        <w:ind w:left="0" w:right="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Malaysia's higher education research community lacks a sovereign, PDPA-compliant platform for multi-agent AI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experimentation and swarm intelligence research. Today, researchers who wish to experiment with collaborative AI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agents must either (a) use foreign cloud services that expose sensitive research data to extra-territorial jurisdiction,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violating PDPA and institutional ethics policies, or (b) build ad-hoc infrastructure that fragments across labs, wastes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resources, and produces irreproducible results.</w:t>
      </w:r>
    </w:p>
    <w:p>
      <w:pPr>
        <w:autoSpaceDN w:val="0"/>
        <w:autoSpaceDE w:val="0"/>
        <w:widowControl/>
        <w:spacing w:line="281" w:lineRule="auto" w:before="158" w:after="0"/>
        <w:ind w:left="0" w:right="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Suluh Swarm embeds a multi-agent orchestration layer directly into UPSI's research infrastructure — enabling any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authorised researcher to compose teams of AI agents, deploy them as collaborative swarms on sensitive or non-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sensitive research tasks, and receive traceable, auditable, ethics-reviewed outputs. All research data, agent state, and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model weights remain inside UPSI's network perimeter. No sensitive information ever leaves Malaysian jurisdiction.</w:t>
      </w:r>
    </w:p>
    <w:p>
      <w:pPr>
        <w:autoSpaceDN w:val="0"/>
        <w:autoSpaceDE w:val="0"/>
        <w:widowControl/>
        <w:spacing w:line="233" w:lineRule="auto" w:before="38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The Strategic Case</w:t>
      </w:r>
    </w:p>
    <w:p>
      <w:pPr>
        <w:autoSpaceDN w:val="0"/>
        <w:autoSpaceDE w:val="0"/>
        <w:widowControl/>
        <w:spacing w:line="281" w:lineRule="auto" w:before="226" w:after="0"/>
        <w:ind w:left="0" w:right="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UPSI has invested significantly in AI infrastructure through the Centre for Artificial Intelligence (CAI) and the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MyFIS AI programme. Suluh Swarm extends this foundation from the administrative domain into the research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domain — creating a unified, institution-wide AI capability that serves both operational and research missions.</w:t>
      </w:r>
    </w:p>
    <w:p>
      <w:pPr>
        <w:autoSpaceDN w:val="0"/>
        <w:autoSpaceDE w:val="0"/>
        <w:widowControl/>
        <w:spacing w:line="288" w:lineRule="auto" w:before="158" w:after="0"/>
        <w:ind w:left="0" w:right="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The challenge is orchestration. Research AI today requires composing multiple specialised models and agents — for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literature search, data cleaning, statistical analysis, visualisation, and narrative generation — into coherent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workflows. Doing this manually consumes 10–20 hours per experiment. Doing it on foreign cloud infrastructure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risks PDPA violation and IRB non-compliance. Suluh Swarm makes multi-agent orchestration instant, sovereign, and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reproducible.</w:t>
      </w:r>
    </w:p>
    <w:p>
      <w:pPr>
        <w:autoSpaceDN w:val="0"/>
        <w:autoSpaceDE w:val="0"/>
        <w:widowControl/>
        <w:spacing w:line="230" w:lineRule="auto" w:before="284" w:after="208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C5364"/>
          <w:sz w:val="22"/>
        </w:rPr>
        <w:t>Without AI Orchestration → With Suluh Swarm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52"/>
        <w:gridCol w:w="4952"/>
      </w:tblGrid>
      <w:tr>
        <w:trPr>
          <w:trHeight w:hRule="exact" w:val="436"/>
        </w:trPr>
        <w:tc>
          <w:tcPr>
            <w:tcW w:type="dxa" w:w="3418"/>
            <w:tcBorders>
              <w:top w:sz="12.0" w:val="single" w:color="#333333"/>
              <w:bottom w:sz="5.6000000000003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Without Suluh Swarm</w:t>
            </w:r>
          </w:p>
        </w:tc>
        <w:tc>
          <w:tcPr>
            <w:tcW w:type="dxa" w:w="6468"/>
            <w:tcBorders>
              <w:top w:sz="12.0" w:val="single" w:color="#333333"/>
              <w:bottom w:sz="5.6000000000003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60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With Suluh Swarm</w:t>
            </w:r>
          </w:p>
        </w:tc>
      </w:tr>
    </w:tbl>
    <w:p>
      <w:pPr>
        <w:autoSpaceDN w:val="0"/>
        <w:autoSpaceDE w:val="0"/>
        <w:widowControl/>
        <w:spacing w:line="14" w:lineRule="exact" w:before="0" w:after="80"/>
        <w:ind w:left="0" w:right="0"/>
      </w:pP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Researchers manually configure individual AI tools for each task</w:t>
      </w:r>
    </w:p>
    <w:p>
      <w:pPr>
        <w:autoSpaceDN w:val="0"/>
        <w:autoSpaceDE w:val="0"/>
        <w:widowControl/>
        <w:spacing w:line="230" w:lineRule="auto" w:before="462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Multi-step experiments require manual handoff between tools</w:t>
      </w:r>
    </w:p>
    <w:p>
      <w:pPr>
        <w:autoSpaceDN w:val="0"/>
        <w:autoSpaceDE w:val="0"/>
        <w:widowControl/>
        <w:spacing w:line="230" w:lineRule="auto" w:before="460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Data leaves Malaysian jurisdiction for cloud AI processing</w:t>
      </w:r>
    </w:p>
    <w:p>
      <w:pPr>
        <w:autoSpaceDN w:val="0"/>
        <w:autoSpaceDE w:val="0"/>
        <w:widowControl/>
        <w:spacing w:line="230" w:lineRule="auto" w:before="462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Experiment results are not reproducible; no audit trail</w:t>
      </w:r>
    </w:p>
    <w:p>
      <w:pPr>
        <w:autoSpaceDN w:val="0"/>
        <w:autoSpaceDE w:val="0"/>
        <w:widowControl/>
        <w:spacing w:line="230" w:lineRule="auto" w:before="190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Each lab maintains separate, underutilised GPU workstations</w:t>
      </w:r>
    </w:p>
    <w:p>
      <w:pPr>
        <w:autoSpaceDN w:val="0"/>
        <w:autoSpaceDE w:val="0"/>
        <w:widowControl/>
        <w:spacing w:line="230" w:lineRule="auto" w:before="20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IRB review of AI-assisted research is ad-hoc and slow</w:t>
      </w:r>
    </w:p>
    <w:p>
      <w:pPr>
        <w:sectPr>
          <w:type w:val="continuous"/>
          <w:pgSz w:w="11899" w:h="16838"/>
          <w:pgMar w:top="238" w:right="972" w:bottom="228" w:left="1022" w:header="720" w:footer="720" w:gutter="0"/>
          <w:cols w:num="2" w:equalWidth="0">
            <w:col w:w="4898" w:space="0"/>
            <w:col w:w="5008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128" w:right="576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Natural language description of research goal; swarm auto-</w:t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composes</w:t>
      </w:r>
    </w:p>
    <w:p>
      <w:pPr>
        <w:autoSpaceDN w:val="0"/>
        <w:autoSpaceDE w:val="0"/>
        <w:widowControl/>
        <w:spacing w:line="271" w:lineRule="auto" w:before="192" w:after="0"/>
        <w:ind w:left="128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LangGraph orchestrates end-to-end with automatic retry and </w:t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fallback</w:t>
      </w:r>
    </w:p>
    <w:p>
      <w:pPr>
        <w:autoSpaceDN w:val="0"/>
        <w:autoSpaceDE w:val="0"/>
        <w:widowControl/>
        <w:spacing w:line="271" w:lineRule="auto" w:before="190" w:after="0"/>
        <w:ind w:left="128" w:right="864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All processing on UPSI hardware; PDPA-compliant by </w:t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architecture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Every agent action logged; experiments are replayable and citable</w:t>
      </w:r>
    </w:p>
    <w:p>
      <w:pPr>
        <w:autoSpaceDN w:val="0"/>
        <w:autoSpaceDE w:val="0"/>
        <w:widowControl/>
        <w:spacing w:line="230" w:lineRule="auto" w:before="190" w:after="0"/>
        <w:ind w:left="12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Centralised 1,280 GB pooled cluster with fair-share scheduling</w:t>
      </w:r>
    </w:p>
    <w:p>
      <w:pPr>
        <w:autoSpaceDN w:val="0"/>
        <w:autoSpaceDE w:val="0"/>
        <w:widowControl/>
        <w:spacing w:line="264" w:lineRule="auto" w:before="206" w:after="110"/>
        <w:ind w:left="128" w:right="72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Built-in IRB ethics gate flags human-subject risks before </w:t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execution</w:t>
      </w:r>
    </w:p>
    <w:p>
      <w:pPr>
        <w:sectPr>
          <w:type w:val="nextColumn"/>
          <w:pgSz w:w="11899" w:h="16838"/>
          <w:pgMar w:top="238" w:right="972" w:bottom="228" w:left="1022" w:header="720" w:footer="720" w:gutter="0"/>
          <w:cols w:num="2" w:equalWidth="0">
            <w:col w:w="4898" w:space="0"/>
            <w:col w:w="5008" w:space="0"/>
          </w:cols>
          <w:docGrid w:linePitch="360"/>
        </w:sectPr>
      </w:pPr>
    </w:p>
    <w:p>
      <w:pPr>
        <w:autoSpaceDN w:val="0"/>
        <w:autoSpaceDE w:val="0"/>
        <w:widowControl/>
        <w:spacing w:line="329" w:lineRule="auto" w:before="358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 xml:space="preserve">What We Are Building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A four-tier AI intelligence layer — entirely hosted on UPSI's intranet with edge deployment capability, powered by a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5-node, 1,280 GB distributed inference cluster — that provides multi-agent orchestration, swarm intelligence</w:t>
      </w:r>
    </w:p>
    <w:p>
      <w:pPr>
        <w:autoSpaceDN w:val="0"/>
        <w:autoSpaceDE w:val="0"/>
        <w:widowControl/>
        <w:spacing w:line="233" w:lineRule="auto" w:before="668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7</w:t>
      </w:r>
    </w:p>
    <w:p>
      <w:pPr>
        <w:sectPr>
          <w:type w:val="continuous"/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Executive Briefing</w:t>
      </w:r>
    </w:p>
    <w:p>
      <w:pPr>
        <w:autoSpaceDN w:val="0"/>
        <w:autoSpaceDE w:val="0"/>
        <w:widowControl/>
        <w:spacing w:line="233" w:lineRule="auto" w:before="51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experimentation, and research automation to authorised users across UPSI and, eventually, partner SEA institutions.</w:t>
      </w:r>
    </w:p>
    <w:p>
      <w:pPr>
        <w:autoSpaceDN w:val="0"/>
        <w:autoSpaceDE w:val="0"/>
        <w:widowControl/>
        <w:spacing w:line="230" w:lineRule="auto" w:before="236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1 Suluh Swarm Core Capabilities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458"/>
        </w:trPr>
        <w:tc>
          <w:tcPr>
            <w:tcW w:type="dxa" w:w="1838"/>
            <w:tcBorders>
              <w:top w:sz="12.0" w:val="single" w:color="#333333"/>
              <w:bottom w:sz="6.399999999999977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Capability</w:t>
            </w:r>
          </w:p>
        </w:tc>
        <w:tc>
          <w:tcPr>
            <w:tcW w:type="dxa" w:w="4280"/>
            <w:tcBorders>
              <w:top w:sz="12.0" w:val="single" w:color="#333333"/>
              <w:bottom w:sz="6.399999999999977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11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What It Does</w:t>
            </w:r>
          </w:p>
        </w:tc>
        <w:tc>
          <w:tcPr>
            <w:tcW w:type="dxa" w:w="3768"/>
            <w:tcBorders>
              <w:top w:sz="12.0" w:val="single" w:color="#333333"/>
              <w:bottom w:sz="6.399999999999977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92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Why It Matters</w:t>
            </w:r>
          </w:p>
        </w:tc>
      </w:tr>
      <w:tr>
        <w:trPr>
          <w:trHeight w:hRule="exact" w:val="308"/>
        </w:trPr>
        <w:tc>
          <w:tcPr>
            <w:tcW w:type="dxa" w:w="1838"/>
            <w:tcBorders>
              <w:top w:sz="6.399999999999977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Multi-Agent Swarm</w:t>
            </w:r>
          </w:p>
        </w:tc>
        <w:tc>
          <w:tcPr>
            <w:tcW w:type="dxa" w:w="4280"/>
            <w:tcBorders>
              <w:top w:sz="6.399999999999977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11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Composes, deploys, and monitors teams of specialised</w:t>
            </w:r>
          </w:p>
        </w:tc>
        <w:tc>
          <w:tcPr>
            <w:tcW w:type="dxa" w:w="3768"/>
            <w:tcBorders>
              <w:top w:sz="6.399999999999977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Researchers get reproducible multi-agent</w:t>
            </w:r>
          </w:p>
        </w:tc>
      </w:tr>
      <w:tr>
        <w:trPr>
          <w:trHeight w:hRule="exact" w:val="260"/>
        </w:trPr>
        <w:tc>
          <w:tcPr>
            <w:tcW w:type="dxa" w:w="1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Engine (LangGraph)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AI agents that collaborate on research tasks with defined</w:t>
            </w:r>
          </w:p>
        </w:tc>
        <w:tc>
          <w:tcPr>
            <w:tcW w:type="dxa" w:w="3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workflows instead of manual tool chaining that</w:t>
            </w:r>
          </w:p>
        </w:tc>
      </w:tr>
      <w:tr>
        <w:trPr>
          <w:trHeight w:hRule="exact" w:val="346"/>
        </w:trPr>
        <w:tc>
          <w:tcPr>
            <w:tcW w:type="dxa" w:w="18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5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Hybrid RAG + Text-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11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roles, memory, and consensus mechanisms</w:t>
            </w:r>
          </w:p>
        </w:tc>
        <w:tc>
          <w:tcPr>
            <w:tcW w:type="dxa" w:w="3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takes hours per experiment</w:t>
            </w:r>
          </w:p>
        </w:tc>
      </w:tr>
      <w:tr>
        <w:trPr>
          <w:trHeight w:hRule="exact" w:val="314"/>
        </w:trPr>
        <w:tc>
          <w:tcPr>
            <w:tcW w:type="dxa" w:w="3302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1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Combines semantic search over research documents</w:t>
            </w:r>
          </w:p>
        </w:tc>
        <w:tc>
          <w:tcPr>
            <w:tcW w:type="dxa" w:w="3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Researchers access institutional knowledge and</w:t>
            </w:r>
          </w:p>
        </w:tc>
      </w:tr>
      <w:tr>
        <w:trPr>
          <w:trHeight w:hRule="exact" w:val="260"/>
        </w:trPr>
        <w:tc>
          <w:tcPr>
            <w:tcW w:type="dxa" w:w="1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to-SQL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11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with structured queries against institutional databases</w:t>
            </w:r>
          </w:p>
        </w:tc>
        <w:tc>
          <w:tcPr>
            <w:tcW w:type="dxa" w:w="3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their own research data without leaving the</w:t>
            </w:r>
          </w:p>
        </w:tc>
      </w:tr>
      <w:tr>
        <w:trPr>
          <w:trHeight w:hRule="exact" w:val="344"/>
        </w:trPr>
        <w:tc>
          <w:tcPr>
            <w:tcW w:type="dxa" w:w="18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Document Intelligence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1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(publications, grants, ethics approvals)</w:t>
            </w:r>
          </w:p>
        </w:tc>
        <w:tc>
          <w:tcPr>
            <w:tcW w:type="dxa" w:w="3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platform or exposing data to cloud services</w:t>
            </w:r>
          </w:p>
        </w:tc>
      </w:tr>
      <w:tr>
        <w:trPr>
          <w:trHeight w:hRule="exact" w:val="316"/>
        </w:trPr>
        <w:tc>
          <w:tcPr>
            <w:tcW w:type="dxa" w:w="3302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11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Extracts text, tables, figures, and charts from research</w:t>
            </w:r>
          </w:p>
        </w:tc>
        <w:tc>
          <w:tcPr>
            <w:tcW w:type="dxa" w:w="3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Decades of institutional research output locked in</w:t>
            </w:r>
          </w:p>
        </w:tc>
      </w:tr>
      <w:tr>
        <w:trPr>
          <w:trHeight w:hRule="exact" w:val="260"/>
        </w:trPr>
        <w:tc>
          <w:tcPr>
            <w:tcW w:type="dxa" w:w="1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(Docling)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1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papers, grant proposals, and scanned documents into</w:t>
            </w:r>
          </w:p>
        </w:tc>
        <w:tc>
          <w:tcPr>
            <w:tcW w:type="dxa" w:w="3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PDFs becomes queryable and composable by</w:t>
            </w:r>
          </w:p>
        </w:tc>
      </w:tr>
      <w:tr>
        <w:trPr>
          <w:trHeight w:hRule="exact" w:val="348"/>
        </w:trPr>
        <w:tc>
          <w:tcPr>
            <w:tcW w:type="dxa" w:w="18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IRB Ethics Gate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1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searchable, agent-consumable formats</w:t>
            </w:r>
          </w:p>
        </w:tc>
        <w:tc>
          <w:tcPr>
            <w:tcW w:type="dxa" w:w="3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agent swarms</w:t>
            </w:r>
          </w:p>
        </w:tc>
      </w:tr>
      <w:tr>
        <w:trPr>
          <w:trHeight w:hRule="exact" w:val="276"/>
        </w:trPr>
        <w:tc>
          <w:tcPr>
            <w:tcW w:type="dxa" w:w="3302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1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Every agent workflow involving human-subject</w:t>
            </w:r>
          </w:p>
        </w:tc>
        <w:tc>
          <w:tcPr>
            <w:tcW w:type="dxa" w:w="3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 ethics compliance moves from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54"/>
        <w:ind w:left="0" w:right="0"/>
      </w:pP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1872" w:right="144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research data is automatically assessed against IRB </w:t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criteria; flagged for human review when necessary</w:t>
      </w:r>
    </w:p>
    <w:p>
      <w:pPr>
        <w:sectPr>
          <w:type w:val="continuous"/>
          <w:pgSz w:w="11899" w:h="16838"/>
          <w:pgMar w:top="238" w:right="972" w:bottom="228" w:left="1022" w:header="720" w:footer="720" w:gutter="0"/>
          <w:cols w:num="2" w:equalWidth="0">
            <w:col w:w="5928" w:space="0"/>
            <w:col w:w="3977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462"/>
        <w:ind w:left="28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retrospective audit to proactive prevention</w:t>
      </w:r>
    </w:p>
    <w:p>
      <w:pPr>
        <w:sectPr>
          <w:type w:val="nextColumn"/>
          <w:pgSz w:w="11899" w:h="16838"/>
          <w:pgMar w:top="238" w:right="972" w:bottom="228" w:left="1022" w:header="720" w:footer="720" w:gutter="0"/>
          <w:cols w:num="2" w:equalWidth="0">
            <w:col w:w="5928" w:space="0"/>
            <w:col w:w="397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2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Distributed Inference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Pools 5 heterogeneous on-premise and edge nodes (3×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7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No cloud dependency for sensitive research</w:t>
            </w:r>
          </w:p>
        </w:tc>
      </w:tr>
      <w:tr>
        <w:trPr>
          <w:trHeight w:hRule="exact" w:val="27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Cluster (EXO)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17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NVIDIA DGX Spark + 2× Apple Mac Studio) into a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workloads. Sovereign AI at institutional scale</w:t>
            </w:r>
          </w:p>
        </w:tc>
      </w:tr>
    </w:tbl>
    <w:p>
      <w:pPr>
        <w:autoSpaceDN w:val="0"/>
        <w:autoSpaceDE w:val="0"/>
        <w:widowControl/>
        <w:spacing w:line="230" w:lineRule="auto" w:before="28" w:after="146"/>
        <w:ind w:left="194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single 1,280 GB inference endpoint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268"/>
        </w:trPr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Every experiment is versioned, containerised, and</w:t>
            </w:r>
          </w:p>
        </w:tc>
        <w:tc>
          <w:tcPr>
            <w:tcW w:type="dxa" w:w="3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 outputs are auditable, citable, and</w:t>
            </w:r>
          </w:p>
        </w:tc>
      </w:tr>
      <w:tr>
        <w:trPr>
          <w:trHeight w:hRule="exact" w:val="260"/>
        </w:trPr>
        <w:tc>
          <w:tcPr>
            <w:tcW w:type="dxa" w:w="1798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Reproducibility Layer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logged: agent configuration, prompt versions, retrieved</w:t>
            </w:r>
          </w:p>
        </w:tc>
        <w:tc>
          <w:tcPr>
            <w:tcW w:type="dxa" w:w="3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15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reproducible — meeting journal and funder</w:t>
            </w:r>
          </w:p>
        </w:tc>
      </w:tr>
      <w:tr>
        <w:trPr>
          <w:trHeight w:hRule="exact" w:val="368"/>
        </w:trPr>
        <w:tc>
          <w:tcPr>
            <w:tcW w:type="dxa" w:w="3302"/>
            <w:vMerge/>
            <w:tcBorders>
              <w:bottom w:sz="12.0" w:val="single" w:color="#333333"/>
            </w:tcBorders>
          </w:tcPr>
          <w:p/>
        </w:tc>
        <w:tc>
          <w:tcPr>
            <w:tcW w:type="dxa" w:w="426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5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documents, model weights, and outputs</w:t>
            </w:r>
          </w:p>
        </w:tc>
        <w:tc>
          <w:tcPr>
            <w:tcW w:type="dxa" w:w="382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5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requirements</w:t>
            </w:r>
          </w:p>
        </w:tc>
      </w:tr>
    </w:tbl>
    <w:p>
      <w:pPr>
        <w:autoSpaceDN w:val="0"/>
        <w:autoSpaceDE w:val="0"/>
        <w:widowControl/>
        <w:spacing w:line="230" w:lineRule="auto" w:before="34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Delivery Plan at a Glance</w:t>
      </w:r>
    </w:p>
    <w:p>
      <w:pPr>
        <w:autoSpaceDN w:val="0"/>
        <w:autoSpaceDE w:val="0"/>
        <w:widowControl/>
        <w:spacing w:line="233" w:lineRule="auto" w:before="304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2 Four-Phase Delivery Roadmap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76"/>
        <w:gridCol w:w="2476"/>
        <w:gridCol w:w="2476"/>
        <w:gridCol w:w="2476"/>
      </w:tblGrid>
      <w:tr>
        <w:trPr>
          <w:trHeight w:hRule="exact" w:val="442"/>
        </w:trPr>
        <w:tc>
          <w:tcPr>
            <w:tcW w:type="dxa" w:w="618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Phase</w:t>
            </w:r>
          </w:p>
        </w:tc>
        <w:tc>
          <w:tcPr>
            <w:tcW w:type="dxa" w:w="760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Months</w:t>
            </w:r>
          </w:p>
        </w:tc>
        <w:tc>
          <w:tcPr>
            <w:tcW w:type="dxa" w:w="2160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8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Milestone</w:t>
            </w:r>
          </w:p>
        </w:tc>
        <w:tc>
          <w:tcPr>
            <w:tcW w:type="dxa" w:w="6348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Exit Gate</w:t>
            </w:r>
          </w:p>
        </w:tc>
      </w:tr>
      <w:tr>
        <w:trPr>
          <w:trHeight w:hRule="exact" w:val="330"/>
        </w:trPr>
        <w:tc>
          <w:tcPr>
            <w:tcW w:type="dxa" w:w="61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0</w:t>
            </w:r>
          </w:p>
        </w:tc>
        <w:tc>
          <w:tcPr>
            <w:tcW w:type="dxa" w:w="760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 – 2</w:t>
            </w:r>
          </w:p>
        </w:tc>
        <w:tc>
          <w:tcPr>
            <w:tcW w:type="dxa" w:w="2160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Foundation &amp; Benchmarks</w:t>
            </w:r>
          </w:p>
        </w:tc>
        <w:tc>
          <w:tcPr>
            <w:tcW w:type="dxa" w:w="634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2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SSO validated; schema.yaml complete; FastAPI skeleton passing; bilingual</w:t>
            </w:r>
          </w:p>
        </w:tc>
      </w:tr>
    </w:tbl>
    <w:p>
      <w:pPr>
        <w:autoSpaceDN w:val="0"/>
        <w:autoSpaceDE w:val="0"/>
        <w:widowControl/>
        <w:spacing w:line="230" w:lineRule="auto" w:before="14" w:after="146"/>
        <w:ind w:left="0" w:right="171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benchmark report accepted; IRB workflow prototype validated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76"/>
        <w:gridCol w:w="2476"/>
        <w:gridCol w:w="2476"/>
        <w:gridCol w:w="2476"/>
      </w:tblGrid>
      <w:tr>
        <w:trPr>
          <w:trHeight w:hRule="exact" w:val="274"/>
        </w:trPr>
        <w:tc>
          <w:tcPr>
            <w:tcW w:type="dxa" w:w="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3 – 6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Core AI &amp; Swarm</w:t>
            </w:r>
          </w:p>
        </w:tc>
        <w:tc>
          <w:tcPr>
            <w:tcW w:type="dxa" w:w="6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Hybrid RAG + Text-to-SQL + Docling + Agent Registry on staging; Chat</w:t>
            </w:r>
          </w:p>
        </w:tc>
      </w:tr>
      <w:tr>
        <w:trPr>
          <w:trHeight w:hRule="exact" w:val="338"/>
        </w:trPr>
        <w:tc>
          <w:tcPr>
            <w:tcW w:type="dxa" w:w="4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0" w:right="18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7 – 10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Capabilities Live</w:t>
            </w:r>
          </w:p>
        </w:tc>
        <w:tc>
          <w:tcPr>
            <w:tcW w:type="dxa" w:w="6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3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Workbench deployed; LangFuse tracing active; Month 6 metrics gate passed</w:t>
            </w:r>
          </w:p>
        </w:tc>
      </w:tr>
      <w:tr>
        <w:trPr>
          <w:trHeight w:hRule="exact" w:val="322"/>
        </w:trPr>
        <w:tc>
          <w:tcPr>
            <w:tcW w:type="dxa" w:w="2476"/>
            <w:vMerge/>
            <w:tcBorders/>
          </w:tcPr>
          <w:p/>
        </w:tc>
        <w:tc>
          <w:tcPr>
            <w:tcW w:type="dxa" w:w="2476"/>
            <w:vMerge/>
            <w:tcBorders/>
          </w:tcPr>
          <w:p/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Agentic Workflows &amp;</w:t>
            </w:r>
          </w:p>
        </w:tc>
        <w:tc>
          <w:tcPr>
            <w:tcW w:type="dxa" w:w="6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3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All three LangGraph workflows live on staging; golden set at 200 entries; regression</w:t>
            </w:r>
          </w:p>
        </w:tc>
      </w:tr>
      <w:tr>
        <w:trPr>
          <w:trHeight w:hRule="exact" w:val="340"/>
        </w:trPr>
        <w:tc>
          <w:tcPr>
            <w:tcW w:type="dxa" w:w="438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900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0" w:right="9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11 – 12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1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Evaluation Harness</w:t>
            </w:r>
          </w:p>
        </w:tc>
        <w:tc>
          <w:tcPr>
            <w:tcW w:type="dxa" w:w="6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3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CI active; Month 10 metrics passed</w:t>
            </w:r>
          </w:p>
        </w:tc>
      </w:tr>
      <w:tr>
        <w:trPr>
          <w:trHeight w:hRule="exact" w:val="320"/>
        </w:trPr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Full Production &amp;</w:t>
            </w:r>
          </w:p>
        </w:tc>
        <w:tc>
          <w:tcPr>
            <w:tcW w:type="dxa" w:w="6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3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Full rollout; 75% adoption; Admin Console live; consortium API documented;</w:t>
            </w:r>
          </w:p>
        </w:tc>
      </w:tr>
      <w:tr>
        <w:trPr>
          <w:trHeight w:hRule="exact" w:val="370"/>
        </w:trPr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202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1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Consortium On-ramp</w:t>
            </w:r>
          </w:p>
        </w:tc>
        <w:tc>
          <w:tcPr>
            <w:tcW w:type="dxa" w:w="652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3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Month 12 metrics passed</w:t>
            </w:r>
          </w:p>
        </w:tc>
      </w:tr>
    </w:tbl>
    <w:p>
      <w:pPr>
        <w:autoSpaceDN w:val="0"/>
        <w:autoSpaceDE w:val="0"/>
        <w:widowControl/>
        <w:spacing w:line="230" w:lineRule="auto" w:before="34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Top Risks and How We Manage Them</w:t>
      </w:r>
    </w:p>
    <w:p>
      <w:pPr>
        <w:autoSpaceDN w:val="0"/>
        <w:autoSpaceDE w:val="0"/>
        <w:widowControl/>
        <w:spacing w:line="230" w:lineRule="auto" w:before="290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3 Risk Register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76"/>
        <w:gridCol w:w="2476"/>
        <w:gridCol w:w="2476"/>
        <w:gridCol w:w="2476"/>
      </w:tblGrid>
      <w:tr>
        <w:trPr>
          <w:trHeight w:hRule="exact" w:val="458"/>
        </w:trPr>
        <w:tc>
          <w:tcPr>
            <w:tcW w:type="dxa" w:w="3018"/>
            <w:tcBorders>
              <w:top w:sz="12.0" w:val="single" w:color="#333333"/>
              <w:bottom w:sz="6.40000000000054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Risk</w:t>
            </w:r>
          </w:p>
        </w:tc>
        <w:tc>
          <w:tcPr>
            <w:tcW w:type="dxa" w:w="1040"/>
            <w:tcBorders>
              <w:top w:sz="12.0" w:val="single" w:color="#333333"/>
              <w:bottom w:sz="6.40000000000054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Likelihood</w:t>
            </w:r>
          </w:p>
        </w:tc>
        <w:tc>
          <w:tcPr>
            <w:tcW w:type="dxa" w:w="720"/>
            <w:tcBorders>
              <w:top w:sz="12.0" w:val="single" w:color="#333333"/>
              <w:bottom w:sz="6.40000000000054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Impact</w:t>
            </w:r>
          </w:p>
        </w:tc>
        <w:tc>
          <w:tcPr>
            <w:tcW w:type="dxa" w:w="5108"/>
            <w:tcBorders>
              <w:top w:sz="12.0" w:val="single" w:color="#333333"/>
              <w:bottom w:sz="6.40000000000054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Mitigation</w:t>
            </w:r>
          </w:p>
        </w:tc>
      </w:tr>
      <w:tr>
        <w:trPr>
          <w:trHeight w:hRule="exact" w:val="314"/>
        </w:trPr>
        <w:tc>
          <w:tcPr>
            <w:tcW w:type="dxa" w:w="3018"/>
            <w:tcBorders>
              <w:top w:sz="6.40000000000054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SSO integration complexity discovered</w:t>
            </w:r>
          </w:p>
        </w:tc>
        <w:tc>
          <w:tcPr>
            <w:tcW w:type="dxa" w:w="1040"/>
            <w:tcBorders>
              <w:top w:sz="6.40000000000054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2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720"/>
            <w:tcBorders>
              <w:top w:sz="6.40000000000054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High</w:t>
            </w:r>
          </w:p>
        </w:tc>
        <w:tc>
          <w:tcPr>
            <w:tcW w:type="dxa" w:w="5108"/>
            <w:tcBorders>
              <w:top w:sz="6.40000000000054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 0 critical path — SSO protocol discovery in Week 1; Phase 1</w:t>
            </w:r>
          </w:p>
        </w:tc>
      </w:tr>
      <w:tr>
        <w:trPr>
          <w:trHeight w:hRule="exact" w:val="340"/>
        </w:trPr>
        <w:tc>
          <w:tcPr>
            <w:tcW w:type="dxa" w:w="3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late</w:t>
            </w:r>
          </w:p>
        </w:tc>
        <w:tc>
          <w:tcPr>
            <w:tcW w:type="dxa" w:w="1040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12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720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High</w:t>
            </w:r>
          </w:p>
        </w:tc>
        <w:tc>
          <w:tcPr>
            <w:tcW w:type="dxa" w:w="5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cannot begin until bridge is validated</w:t>
            </w:r>
          </w:p>
        </w:tc>
      </w:tr>
      <w:tr>
        <w:trPr>
          <w:trHeight w:hRule="exact" w:val="320"/>
        </w:trPr>
        <w:tc>
          <w:tcPr>
            <w:tcW w:type="dxa" w:w="3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Model underperforms on Malay-</w:t>
            </w:r>
          </w:p>
        </w:tc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5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 0 bilingual benchmark: Qwen3.6-35B-A3B vs Gemma 4-31B</w:t>
            </w:r>
          </w:p>
        </w:tc>
      </w:tr>
      <w:tr>
        <w:trPr>
          <w:trHeight w:hRule="exact" w:val="356"/>
        </w:trPr>
        <w:tc>
          <w:tcPr>
            <w:tcW w:type="dxa" w:w="301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English mixed research prompts</w:t>
            </w:r>
          </w:p>
        </w:tc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510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vs Nemotron-3 Super; architecture maintains swap path</w:t>
            </w:r>
          </w:p>
        </w:tc>
      </w:tr>
    </w:tbl>
    <w:p>
      <w:pPr>
        <w:autoSpaceDN w:val="0"/>
        <w:autoSpaceDE w:val="0"/>
        <w:widowControl/>
        <w:spacing w:line="233" w:lineRule="auto" w:before="71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8</w:t>
      </w:r>
    </w:p>
    <w:p>
      <w:pPr>
        <w:sectPr>
          <w:type w:val="continuous"/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512"/>
        <w:ind w:left="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Executive Briefing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480"/>
        <w:gridCol w:w="2480"/>
        <w:gridCol w:w="2480"/>
        <w:gridCol w:w="2480"/>
      </w:tblGrid>
      <w:tr>
        <w:trPr>
          <w:trHeight w:hRule="exact" w:val="278"/>
        </w:trPr>
        <w:tc>
          <w:tcPr>
            <w:tcW w:type="dxa" w:w="2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Multi-agent consensus produces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High</w:t>
            </w:r>
          </w:p>
        </w:tc>
        <w:tc>
          <w:tcPr>
            <w:tcW w:type="dxa" w:w="5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Confidence-gated display; human-in-the-loop gate for IRB-flagged</w:t>
            </w:r>
          </w:p>
        </w:tc>
      </w:tr>
      <w:tr>
        <w:trPr>
          <w:trHeight w:hRule="exact" w:val="346"/>
        </w:trPr>
        <w:tc>
          <w:tcPr>
            <w:tcW w:type="dxa" w:w="2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misleading outputs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5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workflows; regression golden set gates every deployment</w:t>
            </w:r>
          </w:p>
        </w:tc>
      </w:tr>
      <w:tr>
        <w:trPr>
          <w:trHeight w:hRule="exact" w:val="314"/>
        </w:trPr>
        <w:tc>
          <w:tcPr>
            <w:tcW w:type="dxa" w:w="2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IRB workflow adds unacceptable</w:t>
            </w:r>
          </w:p>
        </w:tc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5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Async pre-screening for common research types; fast-path for non-human-</w:t>
            </w:r>
          </w:p>
        </w:tc>
      </w:tr>
      <w:tr>
        <w:trPr>
          <w:trHeight w:hRule="exact" w:val="342"/>
        </w:trPr>
        <w:tc>
          <w:tcPr>
            <w:tcW w:type="dxa" w:w="2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latency</w:t>
            </w:r>
          </w:p>
        </w:tc>
        <w:tc>
          <w:tcPr>
            <w:tcW w:type="dxa" w:w="820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780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5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subject workflows; benchmarked in Phase 0</w:t>
            </w:r>
          </w:p>
        </w:tc>
      </w:tr>
      <w:tr>
        <w:trPr>
          <w:trHeight w:hRule="exact" w:val="318"/>
        </w:trPr>
        <w:tc>
          <w:tcPr>
            <w:tcW w:type="dxa" w:w="2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Low AI trust among conservative</w:t>
            </w:r>
          </w:p>
        </w:tc>
        <w:tc>
          <w:tcPr>
            <w:tcW w:type="dxa" w:w="2480"/>
            <w:vMerge/>
            <w:tcBorders>
              <w:bottom w:sz="12.0" w:val="single" w:color="#333333"/>
            </w:tcBorders>
          </w:tcPr>
          <w:p/>
        </w:tc>
        <w:tc>
          <w:tcPr>
            <w:tcW w:type="dxa" w:w="2480"/>
            <w:vMerge/>
            <w:tcBorders>
              <w:bottom w:sz="12.0" w:val="single" w:color="#333333"/>
            </w:tcBorders>
          </w:tcPr>
          <w:p/>
        </w:tc>
        <w:tc>
          <w:tcPr>
            <w:tcW w:type="dxa" w:w="5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Citations on every output; confidence indicators; phased rollout starting</w:t>
            </w:r>
          </w:p>
        </w:tc>
      </w:tr>
      <w:tr>
        <w:trPr>
          <w:trHeight w:hRule="exact" w:val="364"/>
        </w:trPr>
        <w:tc>
          <w:tcPr>
            <w:tcW w:type="dxa" w:w="261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researchers</w:t>
            </w:r>
          </w:p>
        </w:tc>
        <w:tc>
          <w:tcPr>
            <w:tcW w:type="dxa" w:w="2480"/>
            <w:vMerge/>
            <w:tcBorders>
              <w:bottom w:sz="12.0" w:val="single" w:color="#333333"/>
            </w:tcBorders>
          </w:tcPr>
          <w:p/>
        </w:tc>
        <w:tc>
          <w:tcPr>
            <w:tcW w:type="dxa" w:w="2480"/>
            <w:vMerge/>
            <w:tcBorders>
              <w:bottom w:sz="12.0" w:val="single" w:color="#333333"/>
            </w:tcBorders>
          </w:tcPr>
          <w:p/>
        </w:tc>
        <w:tc>
          <w:tcPr>
            <w:tcW w:type="dxa" w:w="566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with power users; reproducibility guarantees</w:t>
            </w:r>
          </w:p>
        </w:tc>
      </w:tr>
    </w:tbl>
    <w:p>
      <w:pPr>
        <w:autoSpaceDN w:val="0"/>
        <w:autoSpaceDE w:val="0"/>
        <w:widowControl/>
        <w:spacing w:line="233" w:lineRule="auto" w:before="342" w:after="0"/>
        <w:ind w:left="8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Approval Ask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This document requests approval to proceed with Phase 0 — a two-month validation sprint that establishes the</w:t>
      </w:r>
    </w:p>
    <w:p>
      <w:pPr>
        <w:autoSpaceDN w:val="0"/>
        <w:autoSpaceDE w:val="0"/>
        <w:widowControl/>
        <w:spacing w:line="233" w:lineRule="auto" w:before="66" w:after="0"/>
        <w:ind w:left="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technical prerequisites for the full AI capability build. Phase 0 approval enables:</w:t>
      </w:r>
    </w:p>
    <w:p>
      <w:pPr>
        <w:autoSpaceDN w:val="0"/>
        <w:tabs>
          <w:tab w:pos="260" w:val="left"/>
        </w:tabs>
        <w:autoSpaceDE w:val="0"/>
        <w:widowControl/>
        <w:spacing w:line="240" w:lineRule="auto" w:before="188" w:after="0"/>
        <w:ind w:left="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SSO protocol discovery and bridge prototype validation</w:t>
      </w:r>
    </w:p>
    <w:p>
      <w:pPr>
        <w:autoSpaceDN w:val="0"/>
        <w:tabs>
          <w:tab w:pos="260" w:val="left"/>
        </w:tabs>
        <w:autoSpaceDE w:val="0"/>
        <w:widowControl/>
        <w:spacing w:line="240" w:lineRule="auto" w:before="114" w:after="0"/>
        <w:ind w:left="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PostgreSQL schema introspection and schema.yaml generation</w:t>
      </w:r>
    </w:p>
    <w:p>
      <w:pPr>
        <w:autoSpaceDN w:val="0"/>
        <w:tabs>
          <w:tab w:pos="260" w:val="left"/>
        </w:tabs>
        <w:autoSpaceDE w:val="0"/>
        <w:widowControl/>
        <w:spacing w:line="240" w:lineRule="auto" w:before="128" w:after="0"/>
        <w:ind w:left="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5-node EXO cluster setup and Phase 0 bilingual model benchmark (Qwen3.6-35B-A3B vs Gemma 4-31B vs</w:t>
      </w:r>
    </w:p>
    <w:p>
      <w:pPr>
        <w:autoSpaceDN w:val="0"/>
        <w:autoSpaceDE w:val="0"/>
        <w:widowControl/>
        <w:spacing w:line="233" w:lineRule="auto" w:before="68" w:after="0"/>
        <w:ind w:left="26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Nemotron-3 Super)</w:t>
      </w:r>
    </w:p>
    <w:p>
      <w:pPr>
        <w:autoSpaceDN w:val="0"/>
        <w:tabs>
          <w:tab w:pos="260" w:val="left"/>
        </w:tabs>
        <w:autoSpaceDE w:val="0"/>
        <w:widowControl/>
        <w:spacing w:line="240" w:lineRule="auto" w:before="112" w:after="0"/>
        <w:ind w:left="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FastAPI AI gateway skeleton deployment to UPSI staging environment</w:t>
      </w:r>
    </w:p>
    <w:p>
      <w:pPr>
        <w:autoSpaceDN w:val="0"/>
        <w:tabs>
          <w:tab w:pos="260" w:val="left"/>
        </w:tabs>
        <w:autoSpaceDE w:val="0"/>
        <w:widowControl/>
        <w:spacing w:line="240" w:lineRule="auto" w:before="114" w:after="0"/>
        <w:ind w:left="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IRB workflow prototype: automated ethics risk classification for 5 common research types</w:t>
      </w:r>
    </w:p>
    <w:p>
      <w:pPr>
        <w:autoSpaceDN w:val="0"/>
        <w:tabs>
          <w:tab w:pos="260" w:val="left"/>
        </w:tabs>
        <w:autoSpaceDE w:val="0"/>
        <w:widowControl/>
        <w:spacing w:line="240" w:lineRule="auto" w:before="128" w:after="0"/>
        <w:ind w:left="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Golden evaluation set v0.1 — 50 entries authored by research community</w:t>
      </w:r>
    </w:p>
    <w:p>
      <w:pPr>
        <w:autoSpaceDN w:val="0"/>
        <w:autoSpaceDE w:val="0"/>
        <w:widowControl/>
        <w:spacing w:line="233" w:lineRule="auto" w:before="18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Phase 1 approval will be sought at the Phase 0 exit gate, following the benchmark report, SSO validation results, and</w:t>
      </w:r>
    </w:p>
    <w:p>
      <w:pPr>
        <w:autoSpaceDN w:val="0"/>
        <w:autoSpaceDE w:val="0"/>
        <w:widowControl/>
        <w:spacing w:line="230" w:lineRule="auto" w:before="68" w:after="186"/>
        <w:ind w:left="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IRB prototype acceptance.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9921"/>
      </w:tblGrid>
      <w:tr>
        <w:trPr>
          <w:trHeight w:hRule="exact" w:val="1670"/>
        </w:trPr>
        <w:tc>
          <w:tcPr>
            <w:tcW w:type="dxa" w:w="9870"/>
            <w:tcBorders>
              <w:start w:sz="12.019844055175781" w:val="single" w:color="#BF382A"/>
              <w:top w:sz="12.019844055175781" w:val="single" w:color="#BF382A"/>
              <w:end w:sz="12.019844055175781" w:val="single" w:color="#BF382A"/>
              <w:bottom w:sz="12.019844055175781" w:val="single" w:color="#BF382A"/>
            </w:tcBorders>
            <w:shd w:fill="fd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54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9"/>
              </w:rPr>
              <w:t xml:space="preserve">THE DEPLOYMENT GUARANTEE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 xml:space="preserve">All research data, personal records, agent state, institutional documents, and model fine-tuning weights remain inside UPSI's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 xml:space="preserve">intranet perimeter at all times. The optional Anthropic API connection is triggered only for anonymised, low-confidence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 xml:space="preserve">queries on non-human-subject research — it never carries raw personal data, identifiable participant records, or restricted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research materials. This constraint is enforced in application code, not configuration, and is auditable at any time.</w:t>
            </w:r>
          </w:p>
        </w:tc>
      </w:tr>
    </w:tbl>
    <w:p>
      <w:pPr>
        <w:autoSpaceDN w:val="0"/>
        <w:autoSpaceDE w:val="0"/>
        <w:widowControl/>
        <w:spacing w:line="233" w:lineRule="auto" w:before="6608" w:after="0"/>
        <w:ind w:left="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9</w:t>
      </w:r>
    </w:p>
    <w:p>
      <w:pPr>
        <w:sectPr>
          <w:pgSz w:w="11899" w:h="16838"/>
          <w:pgMar w:top="238" w:right="964" w:bottom="228" w:left="10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The Business Case</w:t>
      </w:r>
    </w:p>
    <w:p>
      <w:pPr>
        <w:autoSpaceDN w:val="0"/>
        <w:autoSpaceDE w:val="0"/>
        <w:widowControl/>
        <w:spacing w:line="230" w:lineRule="auto" w:before="54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36"/>
        </w:rPr>
        <w:t>The Business Case</w:t>
      </w:r>
    </w:p>
    <w:p>
      <w:pPr>
        <w:autoSpaceDN w:val="0"/>
        <w:autoSpaceDE w:val="0"/>
        <w:widowControl/>
        <w:spacing w:line="230" w:lineRule="auto" w:before="43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UPSI's research community collectively spends an estimated 1,400+ hours every week on tasks the AI layer will accelerate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by 50–80%. Even at conservative adoption and reduction rates, the system is projected to return 15,000–35,000 productive</w:t>
      </w:r>
    </w:p>
    <w:p>
      <w:pPr>
        <w:autoSpaceDN w:val="0"/>
        <w:autoSpaceDE w:val="0"/>
        <w:widowControl/>
        <w:spacing w:line="230" w:lineRule="auto" w:before="78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hours to the university each year — the equivalent of 8–18 FTE researchers' annual capacity.</w:t>
      </w:r>
    </w:p>
    <w:p>
      <w:pPr>
        <w:autoSpaceDN w:val="0"/>
        <w:autoSpaceDE w:val="0"/>
        <w:widowControl/>
        <w:spacing w:line="230" w:lineRule="auto" w:before="220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333333"/>
          <w:sz w:val="21"/>
        </w:rPr>
        <w:t>A note on methodology: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 the quantitative estimates below are illustrative, derived from workflow observability</w:t>
      </w:r>
    </w:p>
    <w:p>
      <w:pPr>
        <w:autoSpaceDN w:val="0"/>
        <w:autoSpaceDE w:val="0"/>
        <w:widowControl/>
        <w:spacing w:line="230" w:lineRule="auto" w:before="8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patterns in UPSI's research operations. They should be validated during Phase 0 via a targeted time-and-motion study</w:t>
      </w:r>
    </w:p>
    <w:p>
      <w:pPr>
        <w:autoSpaceDN w:val="0"/>
        <w:autoSpaceDE w:val="0"/>
        <w:widowControl/>
        <w:spacing w:line="230" w:lineRule="auto" w:before="68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with the research community — but the methodology and ranges are defensible for the approval decision.</w:t>
      </w:r>
    </w:p>
    <w:p>
      <w:pPr>
        <w:autoSpaceDN w:val="0"/>
        <w:autoSpaceDE w:val="0"/>
        <w:widowControl/>
        <w:spacing w:line="379" w:lineRule="auto" w:before="372" w:after="152"/>
        <w:ind w:left="0" w:right="4032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 xml:space="preserve">Current-State Time Cost — Where the Hours Go Today </w:t>
      </w: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4 Weekly Time Expenditure by Research Role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1"/>
        <w:gridCol w:w="1981"/>
        <w:gridCol w:w="1981"/>
        <w:gridCol w:w="1981"/>
        <w:gridCol w:w="1981"/>
      </w:tblGrid>
      <w:tr>
        <w:trPr>
          <w:trHeight w:hRule="exact" w:val="332"/>
        </w:trPr>
        <w:tc>
          <w:tcPr>
            <w:tcW w:type="dxa" w:w="1798"/>
            <w:vMerge w:val="restart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Role</w:t>
            </w:r>
          </w:p>
        </w:tc>
        <w:tc>
          <w:tcPr>
            <w:tcW w:type="dxa" w:w="4720"/>
            <w:vMerge w:val="restart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14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Activity AI Will Accelerate</w:t>
            </w:r>
          </w:p>
        </w:tc>
        <w:tc>
          <w:tcPr>
            <w:tcW w:type="dxa" w:w="1680"/>
            <w:vMerge w:val="restart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0" w:right="72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Hrs/wk/person</w:t>
            </w:r>
          </w:p>
        </w:tc>
        <w:tc>
          <w:tcPr>
            <w:tcW w:type="dxa" w:w="600"/>
            <w:vMerge w:val="restart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Users</w:t>
            </w:r>
          </w:p>
        </w:tc>
        <w:tc>
          <w:tcPr>
            <w:tcW w:type="dxa" w:w="1088"/>
            <w:tcBorders>
              <w:top w:sz="12.0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Total</w:t>
            </w:r>
          </w:p>
        </w:tc>
      </w:tr>
      <w:tr>
        <w:trPr>
          <w:trHeight w:hRule="exact" w:val="382"/>
        </w:trPr>
        <w:tc>
          <w:tcPr>
            <w:tcW w:type="dxa" w:w="1981"/>
            <w:vMerge/>
            <w:tcBorders>
              <w:top w:sz="12.0" w:val="single" w:color="#333333"/>
              <w:bottom w:sz="6.400000000000091" w:val="single" w:color="#333333"/>
            </w:tcBorders>
          </w:tcPr>
          <w:p/>
        </w:tc>
        <w:tc>
          <w:tcPr>
            <w:tcW w:type="dxa" w:w="1981"/>
            <w:vMerge/>
            <w:tcBorders>
              <w:top w:sz="12.0" w:val="single" w:color="#333333"/>
              <w:bottom w:sz="6.400000000000091" w:val="single" w:color="#333333"/>
            </w:tcBorders>
          </w:tcPr>
          <w:p/>
        </w:tc>
        <w:tc>
          <w:tcPr>
            <w:tcW w:type="dxa" w:w="1981"/>
            <w:vMerge/>
            <w:tcBorders>
              <w:top w:sz="12.0" w:val="single" w:color="#333333"/>
              <w:bottom w:sz="6.400000000000091" w:val="single" w:color="#333333"/>
            </w:tcBorders>
          </w:tcPr>
          <w:p/>
        </w:tc>
        <w:tc>
          <w:tcPr>
            <w:tcW w:type="dxa" w:w="1981"/>
            <w:vMerge/>
            <w:tcBorders>
              <w:top w:sz="12.0" w:val="single" w:color="#333333"/>
              <w:bottom w:sz="6.400000000000091" w:val="single" w:color="#333333"/>
            </w:tcBorders>
          </w:tcPr>
          <w:p/>
        </w:tc>
        <w:tc>
          <w:tcPr>
            <w:tcW w:type="dxa" w:w="1088"/>
            <w:tcBorders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hrs/wk</w:t>
            </w:r>
          </w:p>
        </w:tc>
      </w:tr>
      <w:tr>
        <w:trPr>
          <w:trHeight w:hRule="exact" w:val="322"/>
        </w:trPr>
        <w:tc>
          <w:tcPr>
            <w:tcW w:type="dxa" w:w="179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 officer / RA</w:t>
            </w:r>
          </w:p>
        </w:tc>
        <w:tc>
          <w:tcPr>
            <w:tcW w:type="dxa" w:w="4720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Literature search, data cleaning, experiment setup, report</w:t>
            </w:r>
          </w:p>
        </w:tc>
        <w:tc>
          <w:tcPr>
            <w:tcW w:type="dxa" w:w="1680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67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~12 hrs</w:t>
            </w:r>
          </w:p>
        </w:tc>
        <w:tc>
          <w:tcPr>
            <w:tcW w:type="dxa" w:w="600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~80</w:t>
            </w:r>
          </w:p>
        </w:tc>
        <w:tc>
          <w:tcPr>
            <w:tcW w:type="dxa" w:w="108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960 hrs</w:t>
            </w:r>
          </w:p>
        </w:tc>
      </w:tr>
    </w:tbl>
    <w:p>
      <w:pPr>
        <w:autoSpaceDN w:val="0"/>
        <w:autoSpaceDE w:val="0"/>
        <w:widowControl/>
        <w:spacing w:line="230" w:lineRule="auto" w:before="22" w:after="130"/>
        <w:ind w:left="194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compilation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1981"/>
        <w:gridCol w:w="1981"/>
        <w:gridCol w:w="1981"/>
        <w:gridCol w:w="1981"/>
        <w:gridCol w:w="1981"/>
      </w:tblGrid>
      <w:tr>
        <w:trPr>
          <w:trHeight w:hRule="exact" w:val="288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Postdoctoral researcher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Multi-tool analysis pipelines, reproducibility documentation,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~10 hrs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~25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250 hrs</w:t>
            </w:r>
          </w:p>
        </w:tc>
      </w:tr>
    </w:tbl>
    <w:p>
      <w:pPr>
        <w:autoSpaceDN w:val="0"/>
        <w:autoSpaceDE w:val="0"/>
        <w:widowControl/>
        <w:spacing w:line="230" w:lineRule="auto" w:before="28" w:after="146"/>
        <w:ind w:left="194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manuscript prep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1981"/>
        <w:gridCol w:w="1981"/>
        <w:gridCol w:w="1981"/>
        <w:gridCol w:w="1981"/>
        <w:gridCol w:w="1981"/>
      </w:tblGrid>
      <w:tr>
        <w:trPr>
          <w:trHeight w:hRule="exact" w:val="34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Graduate student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Learning tools, debugging workflows, manual data processing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~8 hrs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1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~120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960 hrs</w:t>
            </w:r>
          </w:p>
        </w:tc>
      </w:tr>
      <w:tr>
        <w:trPr>
          <w:trHeight w:hRule="exact" w:val="40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Lab director / PI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Grant monitoring, ethics compliance checks, resource allocation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2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~5 hrs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20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~30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150 hrs</w:t>
            </w:r>
          </w:p>
        </w:tc>
      </w:tr>
      <w:tr>
        <w:trPr>
          <w:trHeight w:hRule="exact" w:val="40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IRB / ethics officer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2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Reviewing AI-assisted research proposals, compliance audits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2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~6 hrs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29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~8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48 hrs</w:t>
            </w:r>
          </w:p>
        </w:tc>
      </w:tr>
      <w:tr>
        <w:trPr>
          <w:trHeight w:hRule="exact" w:val="33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ICT / research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2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Environment setup, user support, troubleshooting GPU access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20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~5 hrs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0" w:right="20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~12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60 hrs</w:t>
            </w:r>
          </w:p>
        </w:tc>
      </w:tr>
    </w:tbl>
    <w:p>
      <w:pPr>
        <w:autoSpaceDN w:val="0"/>
        <w:autoSpaceDE w:val="0"/>
        <w:widowControl/>
        <w:spacing w:line="230" w:lineRule="auto" w:before="36" w:after="132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computing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384"/>
        </w:trPr>
        <w:tc>
          <w:tcPr>
            <w:tcW w:type="dxa" w:w="515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TOTAL ADDRESSABLE</w:t>
            </w:r>
          </w:p>
        </w:tc>
        <w:tc>
          <w:tcPr>
            <w:tcW w:type="dxa" w:w="362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18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~275</w:t>
            </w:r>
          </w:p>
        </w:tc>
        <w:tc>
          <w:tcPr>
            <w:tcW w:type="dxa" w:w="110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2,428 hrs</w:t>
            </w:r>
          </w:p>
        </w:tc>
      </w:tr>
    </w:tbl>
    <w:p>
      <w:pPr>
        <w:autoSpaceDN w:val="0"/>
        <w:autoSpaceDE w:val="0"/>
        <w:widowControl/>
        <w:spacing w:line="233" w:lineRule="auto" w:before="20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333333"/>
          <w:sz w:val="21"/>
        </w:rPr>
        <w:t>Note: "Addressable" hours represent the subset of total hours spent on tasks that AI orchestration can directly</w:t>
      </w:r>
    </w:p>
    <w:p>
      <w:pPr>
        <w:autoSpaceDN w:val="0"/>
        <w:autoSpaceDE w:val="0"/>
        <w:widowControl/>
        <w:spacing w:line="233" w:lineRule="auto" w:before="8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333333"/>
          <w:sz w:val="21"/>
        </w:rPr>
        <w:t>accelerate. We conservatively estimate 45–50% of total research hours are addressable, yielding ~1,100 hrs/wk in</w:t>
      </w:r>
    </w:p>
    <w:p>
      <w:pPr>
        <w:autoSpaceDN w:val="0"/>
        <w:autoSpaceDE w:val="0"/>
        <w:widowControl/>
        <w:spacing w:line="233" w:lineRule="auto" w:before="66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333333"/>
          <w:sz w:val="21"/>
        </w:rPr>
        <w:t>the primary impact pool.</w:t>
      </w:r>
    </w:p>
    <w:p>
      <w:pPr>
        <w:autoSpaceDN w:val="0"/>
        <w:autoSpaceDE w:val="0"/>
        <w:widowControl/>
        <w:spacing w:line="379" w:lineRule="auto" w:before="372" w:after="156"/>
        <w:ind w:left="0" w:right="6048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 xml:space="preserve">Projected Savings — Three Scenarios </w:t>
      </w:r>
      <w:r>
        <w:br/>
      </w: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5 Productivity Recovery Scenarios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76"/>
        <w:gridCol w:w="2476"/>
        <w:gridCol w:w="2476"/>
        <w:gridCol w:w="2476"/>
      </w:tblGrid>
      <w:tr>
        <w:trPr>
          <w:trHeight w:hRule="exact" w:val="442"/>
        </w:trPr>
        <w:tc>
          <w:tcPr>
            <w:tcW w:type="dxa" w:w="2998"/>
            <w:tcBorders>
              <w:top w:sz="12.0" w:val="single" w:color="#333333"/>
              <w:bottom w:sz="5.6000000000003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Scenario</w:t>
            </w:r>
          </w:p>
        </w:tc>
        <w:tc>
          <w:tcPr>
            <w:tcW w:type="dxa" w:w="3040"/>
            <w:tcBorders>
              <w:top w:sz="12.0" w:val="single" w:color="#333333"/>
              <w:bottom w:sz="5.6000000000003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41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Adoption × Reduction</w:t>
            </w:r>
          </w:p>
        </w:tc>
        <w:tc>
          <w:tcPr>
            <w:tcW w:type="dxa" w:w="1920"/>
            <w:tcBorders>
              <w:top w:sz="12.0" w:val="single" w:color="#333333"/>
              <w:bottom w:sz="5.6000000000003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37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Hrs saved / week</w:t>
            </w:r>
          </w:p>
        </w:tc>
        <w:tc>
          <w:tcPr>
            <w:tcW w:type="dxa" w:w="1928"/>
            <w:tcBorders>
              <w:top w:sz="12.0" w:val="single" w:color="#333333"/>
              <w:bottom w:sz="5.6000000000003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Hrs saved / year</w:t>
            </w:r>
          </w:p>
        </w:tc>
      </w:tr>
      <w:tr>
        <w:trPr>
          <w:trHeight w:hRule="exact" w:val="398"/>
        </w:trPr>
        <w:tc>
          <w:tcPr>
            <w:tcW w:type="dxa" w:w="2998"/>
            <w:tcBorders>
              <w:top w:sz="5.60000000000036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CONSERVATIVE</w:t>
            </w:r>
          </w:p>
        </w:tc>
        <w:tc>
          <w:tcPr>
            <w:tcW w:type="dxa" w:w="3040"/>
            <w:tcBorders>
              <w:top w:sz="5.60000000000036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50% adoption × 55% reduction</w:t>
            </w:r>
          </w:p>
        </w:tc>
        <w:tc>
          <w:tcPr>
            <w:tcW w:type="dxa" w:w="1920"/>
            <w:tcBorders>
              <w:top w:sz="5.60000000000036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37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~300 hrs</w:t>
            </w:r>
          </w:p>
        </w:tc>
        <w:tc>
          <w:tcPr>
            <w:tcW w:type="dxa" w:w="1928"/>
            <w:tcBorders>
              <w:top w:sz="5.60000000000036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~15,000 hrs</w:t>
            </w:r>
          </w:p>
        </w:tc>
      </w:tr>
      <w:tr>
        <w:trPr>
          <w:trHeight w:hRule="exact" w:val="380"/>
        </w:trPr>
        <w:tc>
          <w:tcPr>
            <w:tcW w:type="dxa" w:w="2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REALISTIC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 — planning baseline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75% adoption × 65% reduction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37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~535 hrs</w:t>
            </w:r>
          </w:p>
        </w:tc>
        <w:tc>
          <w:tcPr>
            <w:tcW w:type="dxa" w:w="1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~26,500 hrs</w:t>
            </w:r>
          </w:p>
        </w:tc>
      </w:tr>
      <w:tr>
        <w:trPr>
          <w:trHeight w:hRule="exact" w:val="448"/>
        </w:trPr>
        <w:tc>
          <w:tcPr>
            <w:tcW w:type="dxa" w:w="299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OPTIMISTIC</w:t>
            </w:r>
          </w:p>
        </w:tc>
        <w:tc>
          <w:tcPr>
            <w:tcW w:type="dxa" w:w="304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90% adoption × 75% reduction</w:t>
            </w:r>
          </w:p>
        </w:tc>
        <w:tc>
          <w:tcPr>
            <w:tcW w:type="dxa" w:w="192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37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~720 hrs</w:t>
            </w:r>
          </w:p>
        </w:tc>
        <w:tc>
          <w:tcPr>
            <w:tcW w:type="dxa" w:w="192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~36,000 hrs</w:t>
            </w:r>
          </w:p>
        </w:tc>
      </w:tr>
    </w:tbl>
    <w:p>
      <w:pPr>
        <w:autoSpaceDN w:val="0"/>
        <w:autoSpaceDE w:val="0"/>
        <w:widowControl/>
        <w:spacing w:line="230" w:lineRule="auto" w:before="328" w:after="82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Translating Hours into Strategic Value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646"/>
        </w:trPr>
        <w:tc>
          <w:tcPr>
            <w:tcW w:type="dxa" w:w="1318"/>
            <w:tcBorders>
              <w:top w:sz="6.400000000000546" w:val="single" w:color="#CCCCCC"/>
              <w:bottom w:sz="6.3999999999996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18"/>
            </w:tblGrid>
            <w:tr>
              <w:trPr>
                <w:trHeight w:hRule="exact" w:val="430"/>
              </w:trPr>
              <w:tc>
                <w:tcPr>
                  <w:tcW w:type="dxa" w:w="958"/>
                  <w:tcBorders/>
                  <w:shd w:fill="f7f7f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24" w:after="0"/>
                    <w:ind w:left="86" w:right="0" w:firstLine="0"/>
                    <w:jc w:val="left"/>
                  </w:pPr>
                  <w:r>
                    <w:rPr>
                      <w:rFonts w:ascii="Liberation Serif" w:hAnsi="Liberation Serif" w:eastAsia="Liberation Serif"/>
                      <w:b/>
                      <w:i w:val="0"/>
                      <w:color w:val="333333"/>
                      <w:sz w:val="18"/>
                    </w:rPr>
                    <w:t>Metric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40"/>
            <w:tcBorders>
              <w:top w:sz="6.400000000000546" w:val="single" w:color="#CCCCCC"/>
              <w:bottom w:sz="6.3999999999996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Value</w:t>
            </w:r>
          </w:p>
        </w:tc>
        <w:tc>
          <w:tcPr>
            <w:tcW w:type="dxa" w:w="6628"/>
            <w:tcBorders>
              <w:top w:sz="6.400000000000546" w:val="single" w:color="#CCCCCC"/>
              <w:bottom w:sz="6.3999999999996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4" w:after="0"/>
              <w:ind w:left="78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Description</w:t>
            </w:r>
          </w:p>
        </w:tc>
      </w:tr>
    </w:tbl>
    <w:p>
      <w:pPr>
        <w:autoSpaceDN w:val="0"/>
        <w:autoSpaceDE w:val="0"/>
        <w:widowControl/>
        <w:spacing w:line="233" w:lineRule="auto" w:before="128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10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512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The Business Case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78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Productive hours returned per year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8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26,500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At the realistic scenario, researchers reclaim over 26,000 hours annually for higher-</w:t>
            </w:r>
          </w:p>
        </w:tc>
      </w:tr>
      <w:tr>
        <w:trPr>
          <w:trHeight w:hRule="exact" w:val="346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(realistic)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13.8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value scientific work</w:t>
            </w:r>
          </w:p>
        </w:tc>
      </w:tr>
      <w:tr>
        <w:trPr>
          <w:trHeight w:hRule="exact" w:val="324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FTE-equivalents freed</w:t>
            </w:r>
          </w:p>
        </w:tc>
        <w:tc>
          <w:tcPr>
            <w:tcW w:type="dxa" w:w="3302"/>
            <w:vMerge/>
            <w:tcBorders/>
          </w:tcPr>
          <w:p/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Equivalent to adding nearly 14 full-time researchers to UPSI's capacity without a</w:t>
            </w:r>
          </w:p>
        </w:tc>
      </w:tr>
    </w:tbl>
    <w:p>
      <w:pPr>
        <w:autoSpaceDN w:val="0"/>
        <w:autoSpaceDE w:val="0"/>
        <w:widowControl/>
        <w:spacing w:line="230" w:lineRule="auto" w:before="28" w:after="146"/>
        <w:ind w:left="0" w:right="5158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single new hire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88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Reduction in experiment setup time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~80%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Multi-agent workflows reduce typical experiment configuration from 4–6 hours to</w:t>
            </w:r>
          </w:p>
        </w:tc>
      </w:tr>
    </w:tbl>
    <w:p>
      <w:pPr>
        <w:autoSpaceDN w:val="0"/>
        <w:autoSpaceDE w:val="0"/>
        <w:widowControl/>
        <w:spacing w:line="230" w:lineRule="auto" w:before="28" w:after="146"/>
        <w:ind w:left="0" w:right="5006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under 30 minutes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388"/>
        </w:trPr>
        <w:tc>
          <w:tcPr>
            <w:tcW w:type="dxa" w:w="285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Median swarm response at Month 12</w:t>
            </w:r>
          </w:p>
        </w:tc>
        <w:tc>
          <w:tcPr>
            <w:tcW w:type="dxa" w:w="60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≤ 3s</w:t>
            </w:r>
          </w:p>
        </w:tc>
        <w:tc>
          <w:tcPr>
            <w:tcW w:type="dxa" w:w="642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Agent orchestration and response faster than opening a Jupyter notebook</w:t>
            </w:r>
          </w:p>
        </w:tc>
      </w:tr>
    </w:tbl>
    <w:p>
      <w:pPr>
        <w:autoSpaceDN w:val="0"/>
        <w:autoSpaceDE w:val="0"/>
        <w:widowControl/>
        <w:spacing w:line="230" w:lineRule="auto" w:before="32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Value Beyond Hours Saved</w:t>
      </w:r>
    </w:p>
    <w:p>
      <w:pPr>
        <w:autoSpaceDN w:val="0"/>
        <w:autoSpaceDE w:val="0"/>
        <w:widowControl/>
        <w:spacing w:line="230" w:lineRule="auto" w:before="304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6 Strategic Outcomes Beyond Productivity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52"/>
        <w:gridCol w:w="4952"/>
      </w:tblGrid>
      <w:tr>
        <w:trPr>
          <w:trHeight w:hRule="exact" w:val="458"/>
        </w:trPr>
        <w:tc>
          <w:tcPr>
            <w:tcW w:type="dxa" w:w="1998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Strategic Outcome</w:t>
            </w:r>
          </w:p>
        </w:tc>
        <w:tc>
          <w:tcPr>
            <w:tcW w:type="dxa" w:w="7888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Description</w:t>
            </w:r>
          </w:p>
        </w:tc>
      </w:tr>
      <w:tr>
        <w:trPr>
          <w:trHeight w:hRule="exact" w:val="3214"/>
        </w:trPr>
        <w:tc>
          <w:tcPr>
            <w:tcW w:type="dxa" w:w="199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8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Research reproducibility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transformation</w:t>
            </w:r>
          </w:p>
          <w:p>
            <w:pPr>
              <w:autoSpaceDN w:val="0"/>
              <w:autoSpaceDE w:val="0"/>
              <w:widowControl/>
              <w:spacing w:line="264" w:lineRule="auto" w:before="190" w:after="0"/>
              <w:ind w:left="0" w:right="864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IRB readiness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improvement</w:t>
            </w:r>
          </w:p>
          <w:p>
            <w:pPr>
              <w:autoSpaceDN w:val="0"/>
              <w:autoSpaceDE w:val="0"/>
              <w:widowControl/>
              <w:spacing w:line="262" w:lineRule="auto" w:before="20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Researcher retention and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satisfaction</w:t>
            </w:r>
          </w:p>
          <w:p>
            <w:pPr>
              <w:autoSpaceDN w:val="0"/>
              <w:autoSpaceDE w:val="0"/>
              <w:widowControl/>
              <w:spacing w:line="264" w:lineRule="auto" w:before="206" w:after="0"/>
              <w:ind w:left="86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Digital research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capability development</w:t>
            </w:r>
          </w:p>
          <w:p>
            <w:pPr>
              <w:autoSpaceDN w:val="0"/>
              <w:autoSpaceDE w:val="0"/>
              <w:widowControl/>
              <w:spacing w:line="262" w:lineRule="auto" w:before="206" w:after="0"/>
              <w:ind w:left="86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Institutional knowledge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preservation</w:t>
            </w:r>
          </w:p>
        </w:tc>
        <w:tc>
          <w:tcPr>
            <w:tcW w:type="dxa" w:w="788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80" w:after="0"/>
              <w:ind w:left="120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Every agent workflow is versioned, logged, and replayable. Funders and journals receive reproducibility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guarantees that previously required weeks of manual documentation.</w:t>
            </w:r>
          </w:p>
          <w:p>
            <w:pPr>
              <w:autoSpaceDN w:val="0"/>
              <w:autoSpaceDE w:val="0"/>
              <w:widowControl/>
              <w:spacing w:line="264" w:lineRule="auto" w:before="190" w:after="0"/>
              <w:ind w:left="120" w:right="432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Built-in ethics gate means AI-assisted research proposals arrive at IRB review with pre-assessed risk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ratings. Review cycle time drops from 6–8 weeks to 2–3 weeks for standard protocols.</w:t>
            </w:r>
          </w:p>
          <w:p>
            <w:pPr>
              <w:autoSpaceDN w:val="0"/>
              <w:autoSpaceDE w:val="0"/>
              <w:widowControl/>
              <w:spacing w:line="262" w:lineRule="auto" w:before="206" w:after="0"/>
              <w:ind w:left="120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Modern AI tooling positions UPSI as a forward-thinking research institution. The CAI becomes a magnet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for talented AI-native researchers.</w:t>
            </w:r>
          </w:p>
          <w:p>
            <w:pPr>
              <w:autoSpaceDN w:val="0"/>
              <w:autoSpaceDE w:val="0"/>
              <w:widowControl/>
              <w:spacing w:line="264" w:lineRule="auto" w:before="206" w:after="0"/>
              <w:ind w:left="120" w:right="72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The programme builds a reusable AI research foundation — the same cluster extends to adjacent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institutions through the consortium API with incremental investment.</w:t>
            </w:r>
          </w:p>
          <w:p>
            <w:pPr>
              <w:autoSpaceDN w:val="0"/>
              <w:autoSpaceDE w:val="0"/>
              <w:widowControl/>
              <w:spacing w:line="262" w:lineRule="auto" w:before="206" w:after="0"/>
              <w:ind w:left="120" w:right="432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Decades of research papers, datasets, and institutional reports become searchable and composable by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agent swarms. Knowledge locked in individual researchers' workflows becomes accessible to all</w:t>
            </w:r>
          </w:p>
        </w:tc>
      </w:tr>
    </w:tbl>
    <w:p>
      <w:pPr>
        <w:autoSpaceDN w:val="0"/>
        <w:autoSpaceDE w:val="0"/>
        <w:widowControl/>
        <w:spacing w:line="230" w:lineRule="auto" w:before="12" w:after="0"/>
        <w:ind w:left="211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authorised users.</w:t>
      </w:r>
    </w:p>
    <w:p>
      <w:pPr>
        <w:autoSpaceDN w:val="0"/>
        <w:tabs>
          <w:tab w:pos="2118" w:val="left"/>
        </w:tabs>
        <w:autoSpaceDE w:val="0"/>
        <w:widowControl/>
        <w:spacing w:line="230" w:lineRule="auto" w:before="20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Strategic positioning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UPSI becomes the first Malaysian university to deploy a sovereign, PDPA-compliant multi-agent AI</w:t>
      </w:r>
    </w:p>
    <w:p>
      <w:pPr>
        <w:autoSpaceDN w:val="0"/>
        <w:autoSpaceDE w:val="0"/>
        <w:widowControl/>
        <w:spacing w:line="230" w:lineRule="auto" w:before="56" w:after="0"/>
        <w:ind w:left="211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research platform on a 1,280 GB distributed cluster — a reference implementation for the national higher</w:t>
      </w:r>
    </w:p>
    <w:p>
      <w:pPr>
        <w:autoSpaceDN w:val="0"/>
        <w:autoSpaceDE w:val="0"/>
        <w:widowControl/>
        <w:spacing w:line="230" w:lineRule="auto" w:before="70" w:after="0"/>
        <w:ind w:left="211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education sector.</w:t>
      </w:r>
    </w:p>
    <w:p>
      <w:pPr>
        <w:autoSpaceDN w:val="0"/>
        <w:autoSpaceDE w:val="0"/>
        <w:widowControl/>
        <w:spacing w:line="233" w:lineRule="auto" w:before="45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The Payback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At the realistic scenario (26,500 productive hours returned per year), and applying a conservative blended hourly</w:t>
      </w:r>
    </w:p>
    <w:p>
      <w:pPr>
        <w:autoSpaceDN w:val="0"/>
        <w:autoSpaceDE w:val="0"/>
        <w:widowControl/>
        <w:spacing w:line="233" w:lineRule="auto" w:before="66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cost for research staff, the annual value recovery meaningfully exceeds the total Year 1 investment. The programme</w:t>
      </w:r>
    </w:p>
    <w:p>
      <w:pPr>
        <w:autoSpaceDN w:val="0"/>
        <w:autoSpaceDE w:val="0"/>
        <w:widowControl/>
        <w:spacing w:line="233" w:lineRule="auto" w:before="8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pays back within Year 1 on productivity metrics alone — before accounting for research quality improvement, IRB</w:t>
      </w:r>
    </w:p>
    <w:p>
      <w:pPr>
        <w:autoSpaceDN w:val="0"/>
        <w:autoSpaceDE w:val="0"/>
        <w:widowControl/>
        <w:spacing w:line="233" w:lineRule="auto" w:before="66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efficiency, reproducibility compliance, or strategic positioning benefits.</w:t>
      </w:r>
    </w:p>
    <w:p>
      <w:pPr>
        <w:autoSpaceDN w:val="0"/>
        <w:autoSpaceDE w:val="0"/>
        <w:widowControl/>
        <w:spacing w:line="233" w:lineRule="auto" w:before="445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11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Why Now</w:t>
      </w:r>
    </w:p>
    <w:p>
      <w:pPr>
        <w:autoSpaceDN w:val="0"/>
        <w:autoSpaceDE w:val="0"/>
        <w:widowControl/>
        <w:spacing w:line="230" w:lineRule="auto" w:before="54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36"/>
        </w:rPr>
        <w:t>Why Now</w:t>
      </w:r>
    </w:p>
    <w:p>
      <w:pPr>
        <w:autoSpaceDN w:val="0"/>
        <w:autoSpaceDE w:val="0"/>
        <w:widowControl/>
        <w:spacing w:line="286" w:lineRule="auto" w:before="434" w:after="0"/>
        <w:ind w:left="0" w:right="26" w:firstLine="0"/>
        <w:jc w:val="both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 xml:space="preserve">Four forces converge to make 2026 the decision year: open-source AI crossed the commercial threshold; multi-agent </w:t>
      </w:r>
      <w:r>
        <w:rPr>
          <w:rFonts w:ascii="Liberation Serif" w:hAnsi="Liberation Serif" w:eastAsia="Liberation Serif"/>
          <w:b w:val="0"/>
          <w:i/>
          <w:color w:val="555555"/>
          <w:sz w:val="20"/>
        </w:rPr>
        <w:t xml:space="preserve">orchestration matured from research novelty to production tooling; PDPA enforcement is tightening across ASEAN; and </w:t>
      </w:r>
      <w:r>
        <w:rPr>
          <w:rFonts w:ascii="Liberation Serif" w:hAnsi="Liberation Serif" w:eastAsia="Liberation Serif"/>
          <w:b w:val="0"/>
          <w:i/>
          <w:color w:val="555555"/>
          <w:sz w:val="20"/>
        </w:rPr>
        <w:t xml:space="preserve">Malaysia's National AI Agenda creates a once-in-a-decade funding window for sovereign AI infrastructure. Waiting 12 </w:t>
      </w:r>
      <w:r>
        <w:rPr>
          <w:rFonts w:ascii="Liberation Serif" w:hAnsi="Liberation Serif" w:eastAsia="Liberation Serif"/>
          <w:b w:val="0"/>
          <w:i/>
          <w:color w:val="555555"/>
          <w:sz w:val="20"/>
        </w:rPr>
        <w:t>months means a competitor moves first.</w:t>
      </w:r>
    </w:p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Four Forces Make 2026 the Decision Year</w:t>
      </w:r>
    </w:p>
    <w:p>
      <w:pPr>
        <w:autoSpaceDN w:val="0"/>
        <w:autoSpaceDE w:val="0"/>
        <w:widowControl/>
        <w:spacing w:line="233" w:lineRule="auto" w:before="304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7 Converging Forces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52"/>
        <w:gridCol w:w="4952"/>
      </w:tblGrid>
      <w:tr>
        <w:trPr>
          <w:trHeight w:hRule="exact" w:val="442"/>
        </w:trPr>
        <w:tc>
          <w:tcPr>
            <w:tcW w:type="dxa" w:w="1898"/>
            <w:tcBorders>
              <w:top w:sz="12.0" w:val="single" w:color="#333333"/>
              <w:bottom w:sz="6.3999999999998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Force</w:t>
            </w:r>
          </w:p>
        </w:tc>
        <w:tc>
          <w:tcPr>
            <w:tcW w:type="dxa" w:w="7988"/>
            <w:tcBorders>
              <w:top w:sz="12.0" w:val="single" w:color="#333333"/>
              <w:bottom w:sz="6.3999999999998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What Has Changed</w:t>
            </w:r>
          </w:p>
        </w:tc>
      </w:tr>
      <w:tr>
        <w:trPr>
          <w:trHeight w:hRule="exact" w:val="856"/>
        </w:trPr>
        <w:tc>
          <w:tcPr>
            <w:tcW w:type="dxa" w:w="1898"/>
            <w:tcBorders>
              <w:top w:sz="6.39999999999986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Open-source AI crossed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the commercial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threshold</w:t>
            </w:r>
          </w:p>
        </w:tc>
        <w:tc>
          <w:tcPr>
            <w:tcW w:type="dxa" w:w="7988"/>
            <w:tcBorders>
              <w:top w:sz="6.39999999999986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4" w:after="0"/>
              <w:ind w:left="98" w:right="432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In 2026, open-weight models from Alibaba (Qwen3.6-35B-A3B), NVIDIA (Nemotron-3 Super), and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Google (Gemma 4-31B) reached parity with commercial closed-weight models on most research tasks.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Self-hosted deployment is no longer a compromise — it is a legitimate, preferred production path for</w:t>
            </w:r>
          </w:p>
        </w:tc>
      </w:tr>
    </w:tbl>
    <w:p>
      <w:pPr>
        <w:autoSpaceDN w:val="0"/>
        <w:autoSpaceDE w:val="0"/>
        <w:widowControl/>
        <w:spacing w:line="230" w:lineRule="auto" w:before="12" w:after="0"/>
        <w:ind w:left="199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regulated workloads.</w:t>
      </w:r>
    </w:p>
    <w:p>
      <w:pPr>
        <w:autoSpaceDN w:val="0"/>
        <w:tabs>
          <w:tab w:pos="1996" w:val="left"/>
        </w:tabs>
        <w:autoSpaceDE w:val="0"/>
        <w:widowControl/>
        <w:spacing w:line="274" w:lineRule="auto" w:before="206" w:after="0"/>
        <w:ind w:left="86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Multi-agent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LangGraph v1.0 (October 2025) is deployed at LinkedIn, Replit, and Elastic. The framework transitioned </w:t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orchestration matured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from experimental to production-grade. Agent registries, consensus mechanisms, and swarm coordination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patterns are now well-documented and battle-tested.</w:t>
      </w:r>
    </w:p>
    <w:p>
      <w:pPr>
        <w:autoSpaceDN w:val="0"/>
        <w:tabs>
          <w:tab w:pos="1996" w:val="left"/>
        </w:tabs>
        <w:autoSpaceDE w:val="0"/>
        <w:widowControl/>
        <w:spacing w:line="278" w:lineRule="auto" w:before="206" w:after="0"/>
        <w:ind w:left="86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PDPA enforcement is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Regulatory attention on data sovereignty and cross-border AI data flows is increasing across ASEAN. On-</w:t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tightening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premise AI is the durable answer — avoiding architectural rework when enforcement guidance evolves.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UPSI's local-first design will be compliance-ahead, not compliance-reactive.</w:t>
      </w:r>
    </w:p>
    <w:p>
      <w:pPr>
        <w:autoSpaceDN w:val="0"/>
        <w:tabs>
          <w:tab w:pos="1996" w:val="left"/>
        </w:tabs>
        <w:autoSpaceDE w:val="0"/>
        <w:widowControl/>
        <w:spacing w:line="281" w:lineRule="auto" w:before="192" w:after="0"/>
        <w:ind w:left="86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National AI Agenda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Malaysia's National AI Agenda (2025–2030) allocates dedicated funding for sovereign AI infrastructure in </w:t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funding window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public universities. The 2026–2027 application window is open. Institutions that demonstrate readiness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with documented architecture and governance models receive priority consideration.</w:t>
      </w:r>
    </w:p>
    <w:p>
      <w:pPr>
        <w:autoSpaceDN w:val="0"/>
        <w:autoSpaceDE w:val="0"/>
        <w:widowControl/>
        <w:spacing w:line="230" w:lineRule="auto" w:before="468" w:after="82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The Cost of Delay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52"/>
        <w:gridCol w:w="4952"/>
      </w:tblGrid>
      <w:tr>
        <w:trPr>
          <w:trHeight w:hRule="exact" w:val="410"/>
        </w:trPr>
        <w:tc>
          <w:tcPr>
            <w:tcW w:type="dxa" w:w="158"/>
            <w:tcBorders>
              <w:top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28"/>
            <w:tcBorders>
              <w:top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94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21"/>
              </w:rPr>
              <w:t>Productive hours lost forever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21"/>
              </w:rPr>
              <w:t xml:space="preserve"> — the 26,500-hour annual opportunity does not accrue while the system is not</w:t>
            </w:r>
          </w:p>
        </w:tc>
      </w:tr>
    </w:tbl>
    <w:p>
      <w:pPr>
        <w:autoSpaceDN w:val="0"/>
        <w:autoSpaceDE w:val="0"/>
        <w:widowControl/>
        <w:spacing w:line="230" w:lineRule="auto" w:before="34" w:after="0"/>
        <w:ind w:left="25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deployed.</w:t>
      </w:r>
    </w:p>
    <w:p>
      <w:pPr>
        <w:autoSpaceDN w:val="0"/>
        <w:tabs>
          <w:tab w:pos="252" w:val="left"/>
        </w:tabs>
        <w:autoSpaceDE w:val="0"/>
        <w:widowControl/>
        <w:spacing w:line="240" w:lineRule="auto" w:before="112" w:after="0"/>
        <w:ind w:left="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/>
          <w:i w:val="0"/>
          <w:color w:val="0F2027"/>
          <w:sz w:val="21"/>
        </w:rPr>
        <w:t>Talent risk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 — the delivery team's bandwidth and Claude Code acceleration window is a time-limited asset. Key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personnel may transition to other opportunities.</w:t>
      </w:r>
    </w:p>
    <w:p>
      <w:pPr>
        <w:autoSpaceDN w:val="0"/>
        <w:tabs>
          <w:tab w:pos="252" w:val="left"/>
        </w:tabs>
        <w:autoSpaceDE w:val="0"/>
        <w:widowControl/>
        <w:spacing w:line="240" w:lineRule="auto" w:before="128" w:after="0"/>
        <w:ind w:left="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/>
          <w:i w:val="0"/>
          <w:color w:val="0F2027"/>
          <w:sz w:val="21"/>
        </w:rPr>
        <w:t>Competitive positioning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 — Universiti Malaya, Universiti Teknologi Malaysia, and Nanyang Technological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University (Singapore) are actively evaluating multi-agent AI platforms. First-mover status in sovereign research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AI is a one-time opportunity.</w:t>
      </w:r>
    </w:p>
    <w:p>
      <w:pPr>
        <w:autoSpaceDN w:val="0"/>
        <w:tabs>
          <w:tab w:pos="252" w:val="left"/>
        </w:tabs>
        <w:autoSpaceDE w:val="0"/>
        <w:widowControl/>
        <w:spacing w:line="240" w:lineRule="auto" w:before="128" w:after="0"/>
        <w:ind w:left="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/>
          <w:i w:val="0"/>
          <w:color w:val="0F2027"/>
          <w:sz w:val="21"/>
        </w:rPr>
        <w:t>Technical debt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 — continued dependence on fragmented lab-level GPU workstations accumulates institutional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knowledge risk and wastes capital on underutilised hardware.</w:t>
      </w:r>
    </w:p>
    <w:p>
      <w:pPr>
        <w:autoSpaceDN w:val="0"/>
        <w:tabs>
          <w:tab w:pos="252" w:val="left"/>
        </w:tabs>
        <w:autoSpaceDE w:val="0"/>
        <w:widowControl/>
        <w:spacing w:line="240" w:lineRule="auto" w:before="112" w:after="0"/>
        <w:ind w:left="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/>
          <w:i w:val="0"/>
          <w:color w:val="0F2027"/>
          <w:sz w:val="21"/>
        </w:rPr>
        <w:t>Funding window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 — the National AI Agenda 2026–2027 application window will close. Delay risks missing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matched funding that reduces institutional investment by 40–60%.</w:t>
      </w:r>
    </w:p>
    <w:p>
      <w:pPr>
        <w:autoSpaceDN w:val="0"/>
        <w:autoSpaceDE w:val="0"/>
        <w:widowControl/>
        <w:spacing w:line="230" w:lineRule="auto" w:before="38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Strategic Alignment</w:t>
      </w:r>
    </w:p>
    <w:p>
      <w:pPr>
        <w:autoSpaceDN w:val="0"/>
        <w:autoSpaceDE w:val="0"/>
        <w:widowControl/>
        <w:spacing w:line="230" w:lineRule="auto" w:before="290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8 Strategic Alignment 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52"/>
        <w:gridCol w:w="4952"/>
      </w:tblGrid>
      <w:tr>
        <w:trPr>
          <w:trHeight w:hRule="exact" w:val="458"/>
        </w:trPr>
        <w:tc>
          <w:tcPr>
            <w:tcW w:type="dxa" w:w="1958"/>
            <w:tcBorders>
              <w:top w:sz="12.0" w:val="single" w:color="#333333"/>
              <w:bottom w:sz="5.6000000000003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Alignment</w:t>
            </w:r>
          </w:p>
        </w:tc>
        <w:tc>
          <w:tcPr>
            <w:tcW w:type="dxa" w:w="7928"/>
            <w:tcBorders>
              <w:top w:sz="12.0" w:val="single" w:color="#333333"/>
              <w:bottom w:sz="5.6000000000003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26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How This Programme Advances It</w:t>
            </w:r>
          </w:p>
        </w:tc>
      </w:tr>
      <w:tr>
        <w:trPr>
          <w:trHeight w:hRule="exact" w:val="682"/>
        </w:trPr>
        <w:tc>
          <w:tcPr>
            <w:tcW w:type="dxa" w:w="1958"/>
            <w:tcBorders>
              <w:top w:sz="5.600000000000364" w:val="single" w:color="#333333"/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78" w:after="0"/>
              <w:ind w:left="86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UPSI digital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transformation agenda</w:t>
            </w:r>
          </w:p>
        </w:tc>
        <w:tc>
          <w:tcPr>
            <w:tcW w:type="dxa" w:w="7928"/>
            <w:tcBorders>
              <w:top w:sz="5.600000000000364" w:val="single" w:color="#333333"/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78" w:after="0"/>
              <w:ind w:left="266" w:right="432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Delivers a visible, high-impact AI capability in the research domain — a flagship demonstration of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UPSI's digital modernisation to MOE and international partners.</w:t>
            </w:r>
          </w:p>
        </w:tc>
      </w:tr>
    </w:tbl>
    <w:p>
      <w:pPr>
        <w:autoSpaceDN w:val="0"/>
        <w:autoSpaceDE w:val="0"/>
        <w:widowControl/>
        <w:spacing w:line="233" w:lineRule="auto" w:before="58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12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Why Now</w:t>
      </w:r>
    </w:p>
    <w:p>
      <w:pPr>
        <w:autoSpaceDN w:val="0"/>
        <w:tabs>
          <w:tab w:pos="1988" w:val="left"/>
        </w:tabs>
        <w:autoSpaceDE w:val="0"/>
        <w:widowControl/>
        <w:spacing w:line="230" w:lineRule="auto" w:before="572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Malaysia National AI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Positions UPSI as the reference implementation for sovereign multi-agent AI in Malaysian public higher</w:t>
      </w:r>
    </w:p>
    <w:p>
      <w:pPr>
        <w:autoSpaceDN w:val="0"/>
        <w:tabs>
          <w:tab w:pos="1988" w:val="left"/>
        </w:tabs>
        <w:autoSpaceDE w:val="0"/>
        <w:widowControl/>
        <w:spacing w:line="230" w:lineRule="auto" w:before="70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Agenda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education — on terms that respect national data governance expectations.</w:t>
      </w:r>
    </w:p>
    <w:p>
      <w:pPr>
        <w:autoSpaceDN w:val="0"/>
        <w:tabs>
          <w:tab w:pos="1988" w:val="left"/>
        </w:tabs>
        <w:autoSpaceDE w:val="0"/>
        <w:widowControl/>
        <w:spacing w:line="230" w:lineRule="auto" w:before="190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CAI research mission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Provides the CAI with production infrastructure for its own research agenda in multi-agent systems, swarm</w:t>
      </w:r>
    </w:p>
    <w:p>
      <w:pPr>
        <w:autoSpaceDN w:val="0"/>
        <w:autoSpaceDE w:val="0"/>
        <w:widowControl/>
        <w:spacing w:line="230" w:lineRule="auto" w:before="56" w:after="146"/>
        <w:ind w:left="198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intelligence, and AI ethics — not just a service unit.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52"/>
        <w:gridCol w:w="4952"/>
      </w:tblGrid>
      <w:tr>
        <w:trPr>
          <w:trHeight w:hRule="exact" w:val="1302"/>
        </w:trPr>
        <w:tc>
          <w:tcPr>
            <w:tcW w:type="dxa" w:w="185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Operational excellence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mandate</w:t>
            </w:r>
          </w:p>
          <w:p>
            <w:pPr>
              <w:autoSpaceDN w:val="0"/>
              <w:autoSpaceDE w:val="0"/>
              <w:widowControl/>
              <w:spacing w:line="264" w:lineRule="auto" w:before="206" w:after="0"/>
              <w:ind w:left="86" w:right="432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SEA higher-ed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consortium vision</w:t>
            </w:r>
          </w:p>
        </w:tc>
        <w:tc>
          <w:tcPr>
            <w:tcW w:type="dxa" w:w="802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130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Returns significant research capacity to the institution while improving reproducibility, IRB efficiency, and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researcher experience — without increasing operational cost.</w:t>
            </w:r>
          </w:p>
          <w:p>
            <w:pPr>
              <w:autoSpaceDN w:val="0"/>
              <w:autoSpaceDE w:val="0"/>
              <w:widowControl/>
              <w:spacing w:line="264" w:lineRule="auto" w:before="206" w:after="0"/>
              <w:ind w:left="130" w:right="432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Architects the platform for inter-institutional federation from Day 1. Consortium members connect via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secure API without data centralisation.</w:t>
            </w:r>
          </w:p>
        </w:tc>
      </w:tr>
    </w:tbl>
    <w:p>
      <w:pPr>
        <w:autoSpaceDN w:val="0"/>
        <w:autoSpaceDE w:val="0"/>
        <w:widowControl/>
        <w:spacing w:line="233" w:lineRule="auto" w:before="12418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13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2819400</wp:posOffset>
            </wp:positionV>
            <wp:extent cx="6286500" cy="39370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93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8407400</wp:posOffset>
            </wp:positionV>
            <wp:extent cx="6286500" cy="14097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409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A Day in the Life — Before &amp; After</w:t>
      </w:r>
    </w:p>
    <w:p>
      <w:pPr>
        <w:autoSpaceDN w:val="0"/>
        <w:autoSpaceDE w:val="0"/>
        <w:widowControl/>
        <w:spacing w:line="230" w:lineRule="auto" w:before="54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36"/>
        </w:rPr>
        <w:t>A Day in the Life — Before &amp; After</w:t>
      </w:r>
    </w:p>
    <w:p>
      <w:pPr>
        <w:autoSpaceDN w:val="0"/>
        <w:autoSpaceDE w:val="0"/>
        <w:widowControl/>
        <w:spacing w:line="230" w:lineRule="auto" w:before="43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These three scenarios illustrate — in concrete, minute-by-minute terms — how the AI layer changes everyday research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work. The patterns are drawn from typical workflows observed in UPSI's research community. The names are illustrative.</w:t>
      </w:r>
    </w:p>
    <w:p>
      <w:pPr>
        <w:autoSpaceDN w:val="0"/>
        <w:autoSpaceDE w:val="0"/>
        <w:widowControl/>
        <w:spacing w:line="233" w:lineRule="auto" w:before="37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Scenario 1 — Researcher: Deploying a Multi-Agent Experiment</w:t>
      </w:r>
    </w:p>
    <w:p>
      <w:pPr>
        <w:autoSpaceDN w:val="0"/>
        <w:autoSpaceDE w:val="0"/>
        <w:widowControl/>
        <w:spacing w:line="230" w:lineRule="auto" w:before="226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Dr. Aisyah, a research officer at the Faculty of Human Development, wants to run a systematic literature review on</w:t>
      </w:r>
    </w:p>
    <w:p>
      <w:pPr>
        <w:autoSpaceDN w:val="0"/>
        <w:autoSpaceDE w:val="0"/>
        <w:widowControl/>
        <w:spacing w:line="230" w:lineRule="auto" w:before="8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digital literacy interventions in Malaysian primary schools, synthesise findings, and draft a preliminary results</w:t>
      </w:r>
    </w:p>
    <w:p>
      <w:pPr>
        <w:autoSpaceDN w:val="0"/>
        <w:autoSpaceDE w:val="0"/>
        <w:widowControl/>
        <w:spacing w:line="230" w:lineRule="auto" w:before="68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section for a journal submission.</w:t>
      </w:r>
    </w:p>
    <w:p>
      <w:pPr>
        <w:autoSpaceDN w:val="0"/>
        <w:tabs>
          <w:tab w:pos="5170" w:val="left"/>
        </w:tabs>
        <w:autoSpaceDE w:val="0"/>
        <w:widowControl/>
        <w:spacing w:line="230" w:lineRule="auto" w:before="324" w:after="0"/>
        <w:ind w:left="144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6"/>
        </w:rPr>
        <w:t xml:space="preserve">TODAY — WITHOUT SULUH SWARM </w:t>
      </w:r>
      <w:r>
        <w:tab/>
      </w:r>
      <w:r>
        <w:rPr>
          <w:rFonts w:ascii="Liberation Serif" w:hAnsi="Liberation Serif" w:eastAsia="Liberation Serif"/>
          <w:b/>
          <w:i w:val="0"/>
          <w:color w:val="333333"/>
          <w:sz w:val="16"/>
        </w:rPr>
        <w:t>WITH SULUH SWARM</w:t>
      </w:r>
    </w:p>
    <w:p>
      <w:pPr>
        <w:autoSpaceDN w:val="0"/>
        <w:tabs>
          <w:tab w:pos="5422" w:val="left"/>
        </w:tabs>
        <w:autoSpaceDE w:val="0"/>
        <w:widowControl/>
        <w:spacing w:line="233" w:lineRule="auto" w:before="168" w:after="0"/>
        <w:ind w:left="39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Opens 4 separate tools: Google Scholar, Zotero,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Opens Suluh Swarm Workbench (Vue 3 AI</w:t>
      </w:r>
    </w:p>
    <w:p>
      <w:pPr>
        <w:autoSpaceDN w:val="0"/>
        <w:tabs>
          <w:tab w:pos="5422" w:val="left"/>
        </w:tabs>
        <w:autoSpaceDE w:val="0"/>
        <w:widowControl/>
        <w:spacing w:line="233" w:lineRule="auto" w:before="82" w:after="0"/>
        <w:ind w:left="39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SPSS, Word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Workbench)</w:t>
      </w:r>
    </w:p>
    <w:p>
      <w:pPr>
        <w:autoSpaceDN w:val="0"/>
        <w:tabs>
          <w:tab w:pos="5422" w:val="left"/>
        </w:tabs>
        <w:autoSpaceDE w:val="0"/>
        <w:widowControl/>
        <w:spacing w:line="233" w:lineRule="auto" w:before="112" w:after="0"/>
        <w:ind w:left="39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Manually exports 200+ references from multiple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Describes research goal in English: "Systematic</w:t>
      </w:r>
    </w:p>
    <w:p>
      <w:pPr>
        <w:autoSpaceDN w:val="0"/>
        <w:tabs>
          <w:tab w:pos="5422" w:val="left"/>
          <w:tab w:pos="6228" w:val="left"/>
          <w:tab w:pos="6636" w:val="left"/>
          <w:tab w:pos="7408" w:val="left"/>
          <w:tab w:pos="8272" w:val="left"/>
          <w:tab w:pos="9604" w:val="left"/>
        </w:tabs>
        <w:autoSpaceDE w:val="0"/>
        <w:widowControl/>
        <w:spacing w:line="233" w:lineRule="auto" w:before="66" w:after="0"/>
        <w:ind w:left="39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databases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review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of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digital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literacy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interventions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in</w:t>
      </w:r>
    </w:p>
    <w:p>
      <w:pPr>
        <w:autoSpaceDN w:val="0"/>
        <w:tabs>
          <w:tab w:pos="5422" w:val="left"/>
        </w:tabs>
        <w:autoSpaceDE w:val="0"/>
        <w:widowControl/>
        <w:spacing w:line="276" w:lineRule="auto" w:before="82" w:after="0"/>
        <w:ind w:left="39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Cleans and deduplicates bibliography across 3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Malaysian primary schools — synthesise and</w:t>
      </w:r>
    </w:p>
    <w:p>
      <w:pPr>
        <w:autoSpaceDN w:val="0"/>
        <w:tabs>
          <w:tab w:pos="5422" w:val="left"/>
        </w:tabs>
        <w:autoSpaceDE w:val="0"/>
        <w:widowControl/>
        <w:spacing w:line="276" w:lineRule="auto" w:before="22" w:after="114"/>
        <w:ind w:left="39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hours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draft"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auto" w:before="0" w:after="0"/>
        <w:ind w:left="396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Reads and codes 45 relevant papers manually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Runs descriptive statistics in SPSS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Drafts narrative in Word without live citation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linking </w:t>
      </w:r>
      <w:r>
        <w:br/>
      </w:r>
      <w:r>
        <w:rPr>
          <w:rFonts w:ascii="Liberation Serif" w:hAnsi="Liberation Serif" w:eastAsia="Liberation Serif"/>
          <w:b/>
          <w:i w:val="0"/>
          <w:color w:val="0F2027"/>
          <w:sz w:val="21"/>
        </w:rPr>
        <w:t>TIME: 3–4 DAYS</w:t>
      </w:r>
    </w:p>
    <w:p>
      <w:pPr>
        <w:sectPr>
          <w:type w:val="continuous"/>
          <w:pgSz w:w="11899" w:h="16838"/>
          <w:pgMar w:top="238" w:right="972" w:bottom="228" w:left="1022" w:header="720" w:footer="720" w:gutter="0"/>
          <w:cols w:num="2" w:equalWidth="0">
            <w:col w:w="5082" w:space="0"/>
            <w:col w:w="4824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34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AI swarm auto-composes: Literature Agent +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Synthesis Agent + Writing Agent</w:t>
      </w:r>
    </w:p>
    <w:p>
      <w:pPr>
        <w:autoSpaceDN w:val="0"/>
        <w:autoSpaceDE w:val="0"/>
        <w:widowControl/>
        <w:spacing w:line="264" w:lineRule="auto" w:before="128" w:after="0"/>
        <w:ind w:left="34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Swarm retrieves 200+ references from institutional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subscription databases</w:t>
      </w:r>
    </w:p>
    <w:p>
      <w:pPr>
        <w:autoSpaceDN w:val="0"/>
        <w:autoSpaceDE w:val="0"/>
        <w:widowControl/>
        <w:spacing w:line="271" w:lineRule="auto" w:before="114" w:after="0"/>
        <w:ind w:left="34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Auto-deduplicates, screens, and codes papers in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parallel</w:t>
      </w:r>
    </w:p>
    <w:p>
      <w:pPr>
        <w:autoSpaceDN w:val="0"/>
        <w:autoSpaceDE w:val="0"/>
        <w:widowControl/>
        <w:spacing w:line="264" w:lineRule="auto" w:before="112" w:after="0"/>
        <w:ind w:left="34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Returns structured synthesis with citations in 8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minutes</w:t>
      </w:r>
    </w:p>
    <w:p>
      <w:pPr>
        <w:autoSpaceDN w:val="0"/>
        <w:autoSpaceDE w:val="0"/>
        <w:widowControl/>
        <w:spacing w:line="264" w:lineRule="auto" w:before="128" w:after="0"/>
        <w:ind w:left="34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Dr. Aisyah reviews, adds commentary, exports to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manuscript</w:t>
      </w:r>
    </w:p>
    <w:p>
      <w:pPr>
        <w:autoSpaceDN w:val="0"/>
        <w:autoSpaceDE w:val="0"/>
        <w:widowControl/>
        <w:spacing w:line="230" w:lineRule="auto" w:before="114" w:after="444"/>
        <w:ind w:left="34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21"/>
        </w:rPr>
        <w:t>TIME: ~25 MINUTES</w:t>
      </w:r>
    </w:p>
    <w:p>
      <w:pPr>
        <w:sectPr>
          <w:type w:val="nextColumn"/>
          <w:pgSz w:w="11899" w:h="16838"/>
          <w:pgMar w:top="238" w:right="972" w:bottom="228" w:left="1022" w:header="720" w:footer="720" w:gutter="0"/>
          <w:cols w:num="2" w:equalWidth="0">
            <w:col w:w="5082" w:space="0"/>
            <w:col w:w="4824" w:space="0"/>
          </w:cols>
          <w:docGrid w:linePitch="360"/>
        </w:sectPr>
      </w:pPr>
    </w:p>
    <w:p>
      <w:pPr>
        <w:autoSpaceDN w:val="0"/>
        <w:autoSpaceDE w:val="0"/>
        <w:widowControl/>
        <w:spacing w:line="281" w:lineRule="auto" w:before="0" w:after="0"/>
        <w:ind w:left="0" w:right="26" w:firstLine="0"/>
        <w:jc w:val="both"/>
      </w:pPr>
      <w:r>
        <w:rPr>
          <w:rFonts w:ascii="Liberation Serif" w:hAnsi="Liberation Serif" w:eastAsia="Liberation Serif"/>
          <w:b/>
          <w:i w:val="0"/>
          <w:color w:val="0F2027"/>
          <w:sz w:val="21"/>
        </w:rPr>
        <w:t>Time reduction: 95%.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 Dr. Aisyah now runs 3–4 similar reviews per month. The swarm output includes full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provenance: every paper retrieved, every exclusion decision, every synthesis step — journal reviewers receive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complete reproducibility documentation.</w:t>
      </w:r>
    </w:p>
    <w:p>
      <w:pPr>
        <w:autoSpaceDN w:val="0"/>
        <w:autoSpaceDE w:val="0"/>
        <w:widowControl/>
        <w:spacing w:line="230" w:lineRule="auto" w:before="37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Scenario 2 — Lab Director: Monitoring Distributed Swarm Jobs</w:t>
      </w:r>
    </w:p>
    <w:p>
      <w:pPr>
        <w:autoSpaceDN w:val="0"/>
        <w:autoSpaceDE w:val="0"/>
        <w:widowControl/>
        <w:spacing w:line="264" w:lineRule="auto" w:before="242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Prof. Ravi, Director of the Social Computing Lab, has 5 concurrent research projects using Suluh Swarm agents. He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needs visibility into resource usage, agent performance, and whether any jobs require human intervention.</w:t>
      </w:r>
    </w:p>
    <w:p>
      <w:pPr>
        <w:autoSpaceDN w:val="0"/>
        <w:autoSpaceDE w:val="0"/>
        <w:widowControl/>
        <w:spacing w:line="230" w:lineRule="auto" w:before="324" w:after="0"/>
        <w:ind w:left="144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6"/>
        </w:rPr>
        <w:t>TODAY — WITHOUT SULUH SWARM</w:t>
      </w:r>
    </w:p>
    <w:p>
      <w:pPr>
        <w:autoSpaceDN w:val="0"/>
        <w:autoSpaceDE w:val="0"/>
        <w:widowControl/>
        <w:spacing w:line="230" w:lineRule="auto" w:before="170" w:after="0"/>
        <w:ind w:left="39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Walks to each lab member's desk for status updates</w:t>
      </w:r>
    </w:p>
    <w:p>
      <w:pPr>
        <w:autoSpaceDN w:val="0"/>
        <w:autoSpaceDE w:val="0"/>
        <w:widowControl/>
        <w:spacing w:line="230" w:lineRule="auto" w:before="114" w:after="0"/>
        <w:ind w:left="39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Checks 3 separate GPU workstation dashboards</w:t>
      </w:r>
    </w:p>
    <w:p>
      <w:pPr>
        <w:autoSpaceDN w:val="0"/>
        <w:autoSpaceDE w:val="0"/>
        <w:widowControl/>
        <w:spacing w:line="230" w:lineRule="auto" w:before="128" w:after="0"/>
        <w:ind w:left="39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Manually compiles resource usage in spreadsheet</w:t>
      </w:r>
    </w:p>
    <w:p>
      <w:pPr>
        <w:autoSpaceDN w:val="0"/>
        <w:autoSpaceDE w:val="0"/>
        <w:widowControl/>
        <w:spacing w:line="230" w:lineRule="auto" w:before="114" w:after="0"/>
        <w:ind w:left="39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Discovers one job has been failing silently for 2 days</w:t>
      </w:r>
    </w:p>
    <w:p>
      <w:pPr>
        <w:autoSpaceDN w:val="0"/>
        <w:autoSpaceDE w:val="0"/>
        <w:widowControl/>
        <w:spacing w:line="233" w:lineRule="auto" w:before="112" w:after="0"/>
        <w:ind w:left="39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Emails ICT to diagnose GPU memory issue</w:t>
      </w:r>
    </w:p>
    <w:p>
      <w:pPr>
        <w:autoSpaceDN w:val="0"/>
        <w:autoSpaceDE w:val="0"/>
        <w:widowControl/>
        <w:spacing w:line="233" w:lineRule="auto" w:before="848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14</w:t>
      </w:r>
    </w:p>
    <w:p>
      <w:pPr>
        <w:sectPr>
          <w:type w:val="continuous"/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723900</wp:posOffset>
            </wp:positionV>
            <wp:extent cx="6286500" cy="31496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14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5334000</wp:posOffset>
            </wp:positionV>
            <wp:extent cx="6286500" cy="2971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71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A Day in the Life — Before &amp; After</w:t>
      </w:r>
    </w:p>
    <w:p>
      <w:pPr>
        <w:autoSpaceDN w:val="0"/>
        <w:tabs>
          <w:tab w:pos="5170" w:val="left"/>
        </w:tabs>
        <w:autoSpaceDE w:val="0"/>
        <w:widowControl/>
        <w:spacing w:line="281" w:lineRule="auto" w:before="514" w:after="64"/>
        <w:ind w:left="39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Waits 3 days for environment reset </w:t>
      </w:r>
      <w:r>
        <w:tab/>
      </w:r>
      <w:r>
        <w:rPr>
          <w:rFonts w:ascii="Liberation Serif" w:hAnsi="Liberation Serif" w:eastAsia="Liberation Serif"/>
          <w:b/>
          <w:i w:val="0"/>
          <w:color w:val="333333"/>
          <w:sz w:val="16"/>
        </w:rPr>
        <w:t>WITH SULUH SWARM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396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21"/>
        </w:rPr>
        <w:t>TIME: 2+ HOURS DAILY + DELAYS</w:t>
      </w:r>
    </w:p>
    <w:p>
      <w:pPr>
        <w:sectPr>
          <w:type w:val="continuous"/>
          <w:pgSz w:w="11899" w:h="16838"/>
          <w:pgMar w:top="238" w:right="972" w:bottom="228" w:left="1022" w:header="720" w:footer="720" w:gutter="0"/>
          <w:cols w:num="2" w:equalWidth="0">
            <w:col w:w="4646" w:space="0"/>
            <w:col w:w="5260" w:space="0"/>
          </w:cols>
          <w:docGrid w:linePitch="360"/>
        </w:sectPr>
      </w:pPr>
    </w:p>
    <w:p>
      <w:pPr>
        <w:autoSpaceDN w:val="0"/>
        <w:autoSpaceDE w:val="0"/>
        <w:widowControl/>
        <w:spacing w:line="319" w:lineRule="auto" w:before="0" w:after="56"/>
        <w:ind w:left="77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Opens Admin Console on laptop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Real-time view of all 5 swarm jobs: status,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resource usage, agent count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One job flagged: IRB ethics gate triggered on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human-subject data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Prof. Ravi reviews flagged decision, approves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override with one click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Auto-alert sent to IRB officer for post-hoc review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Resource rebalancing recommended: move 2 jobs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to edge nodes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2.00000000000045" w:type="dxa"/>
      </w:tblPr>
      <w:tblGrid>
        <w:gridCol w:w="1981"/>
        <w:gridCol w:w="1981"/>
        <w:gridCol w:w="1981"/>
        <w:gridCol w:w="1981"/>
        <w:gridCol w:w="1981"/>
      </w:tblGrid>
      <w:tr>
        <w:trPr>
          <w:trHeight w:hRule="exact" w:val="33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13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21"/>
              </w:rPr>
              <w:t xml:space="preserve">Prof.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21"/>
              </w:rPr>
              <w:t xml:space="preserve">Ravi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21"/>
              </w:rPr>
              <w:t xml:space="preserve">approves;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21"/>
              </w:rPr>
              <w:t xml:space="preserve">cluster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21"/>
              </w:rPr>
              <w:t>rebalances</w:t>
            </w:r>
          </w:p>
        </w:tc>
      </w:tr>
    </w:tbl>
    <w:p>
      <w:pPr>
        <w:autoSpaceDN w:val="0"/>
        <w:autoSpaceDE w:val="0"/>
        <w:widowControl/>
        <w:spacing w:line="286" w:lineRule="auto" w:before="42" w:after="444"/>
        <w:ind w:left="776" w:right="1728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automatically </w:t>
      </w:r>
      <w:r>
        <w:br/>
      </w:r>
      <w:r>
        <w:rPr>
          <w:rFonts w:ascii="Liberation Serif" w:hAnsi="Liberation Serif" w:eastAsia="Liberation Serif"/>
          <w:b/>
          <w:i w:val="0"/>
          <w:color w:val="0F2027"/>
          <w:sz w:val="21"/>
        </w:rPr>
        <w:t>TIME: UNDER 10 MINUTES</w:t>
      </w:r>
    </w:p>
    <w:p>
      <w:pPr>
        <w:sectPr>
          <w:type w:val="nextColumn"/>
          <w:pgSz w:w="11899" w:h="16838"/>
          <w:pgMar w:top="238" w:right="972" w:bottom="228" w:left="1022" w:header="720" w:footer="720" w:gutter="0"/>
          <w:cols w:num="2" w:equalWidth="0">
            <w:col w:w="4646" w:space="0"/>
            <w:col w:w="5260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21"/>
        </w:rPr>
        <w:t>Decision cycle: from reactive fire-fighting to proactive oversight.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 Prof. Ravi manages 5× more concurrent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projects with better visibility and fewer interruptions.</w:t>
      </w:r>
    </w:p>
    <w:p>
      <w:pPr>
        <w:autoSpaceDN w:val="0"/>
        <w:autoSpaceDE w:val="0"/>
        <w:widowControl/>
        <w:spacing w:line="230" w:lineRule="auto" w:before="37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Scenario 3 — IRB Reviewer: Auditing Agent Decisions</w:t>
      </w:r>
    </w:p>
    <w:p>
      <w:pPr>
        <w:autoSpaceDN w:val="0"/>
        <w:autoSpaceDE w:val="0"/>
        <w:widowControl/>
        <w:spacing w:line="264" w:lineRule="auto" w:before="242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Puan Faridah, an IRB ethics officer, needs to audit a batch of 20 AI-assisted research proposals that used Suluh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Swarm agents for data analysis. She must verify that no ethical boundaries were crossed.</w:t>
      </w:r>
    </w:p>
    <w:p>
      <w:pPr>
        <w:autoSpaceDN w:val="0"/>
        <w:tabs>
          <w:tab w:pos="5170" w:val="left"/>
        </w:tabs>
        <w:autoSpaceDE w:val="0"/>
        <w:widowControl/>
        <w:spacing w:line="233" w:lineRule="auto" w:before="322" w:after="0"/>
        <w:ind w:left="144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6"/>
        </w:rPr>
        <w:t xml:space="preserve">TODAY — WITHOUT SULUH SWARM </w:t>
      </w:r>
      <w:r>
        <w:tab/>
      </w:r>
      <w:r>
        <w:rPr>
          <w:rFonts w:ascii="Liberation Serif" w:hAnsi="Liberation Serif" w:eastAsia="Liberation Serif"/>
          <w:b/>
          <w:i w:val="0"/>
          <w:color w:val="333333"/>
          <w:sz w:val="16"/>
        </w:rPr>
        <w:t>WITH SULUH SWARM</w:t>
      </w:r>
    </w:p>
    <w:p>
      <w:pPr>
        <w:autoSpaceDN w:val="0"/>
        <w:tabs>
          <w:tab w:pos="5422" w:val="left"/>
          <w:tab w:pos="7004" w:val="left"/>
          <w:tab w:pos="7992" w:val="left"/>
          <w:tab w:pos="8734" w:val="left"/>
          <w:tab w:pos="9206" w:val="left"/>
        </w:tabs>
        <w:autoSpaceDE w:val="0"/>
        <w:widowControl/>
        <w:spacing w:line="324" w:lineRule="auto" w:before="168" w:after="0"/>
        <w:ind w:left="39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Receives 20 proposals with varying levels of AI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Opens IRB Audit Dashboard in Admin Console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disclosure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All 20 proposals display agent provenance: every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Some researchers didn't document which AI tools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tool call, every data access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they used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Auto-flagged: 3 proposals accessed RESTRICTED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Manually reads each methodology section for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data without explicit approval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ethical risks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17 proposals pass automated ethics pre-screen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Cannot verify what data was exposed to cloud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Puan Faridah focuses on 3 flagged items only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services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Batch-generates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feedback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letters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for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passed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Flags 8 proposals for revision; 3 require full re-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proposals </w:t>
      </w:r>
      <w:r>
        <w:br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review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Escalates 3 flagged proposals with full decision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Writes individual feedback letters for each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trail attached </w:t>
      </w:r>
      <w:r>
        <w:br/>
      </w:r>
      <w:r>
        <w:rPr>
          <w:rFonts w:ascii="Liberation Serif" w:hAnsi="Liberation Serif" w:eastAsia="Liberation Serif"/>
          <w:b/>
          <w:i w:val="0"/>
          <w:color w:val="0F2027"/>
          <w:sz w:val="21"/>
        </w:rPr>
        <w:t xml:space="preserve">TIME: 3 FULL DAYS </w:t>
      </w:r>
      <w:r>
        <w:rPr>
          <w:rFonts w:ascii="Liberation Serif" w:hAnsi="Liberation Serif" w:eastAsia="Liberation Serif"/>
          <w:b/>
          <w:i w:val="0"/>
          <w:color w:val="0F2027"/>
          <w:sz w:val="21"/>
        </w:rPr>
        <w:t>TIME: 2 HOURS</w:t>
      </w:r>
    </w:p>
    <w:p>
      <w:pPr>
        <w:autoSpaceDN w:val="0"/>
        <w:autoSpaceDE w:val="0"/>
        <w:widowControl/>
        <w:spacing w:line="264" w:lineRule="auto" w:before="44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21"/>
        </w:rPr>
        <w:t>Coverage: from sampling-based to comprehensive.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 IRB audit quality improves while review cycle time drops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70%.</w:t>
      </w:r>
    </w:p>
    <w:p>
      <w:pPr>
        <w:autoSpaceDN w:val="0"/>
        <w:autoSpaceDE w:val="0"/>
        <w:widowControl/>
        <w:spacing w:line="233" w:lineRule="auto" w:before="2426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15</w:t>
      </w:r>
    </w:p>
    <w:p>
      <w:pPr>
        <w:sectPr>
          <w:type w:val="continuous"/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Investment &amp; Team</w:t>
      </w:r>
    </w:p>
    <w:p>
      <w:pPr>
        <w:autoSpaceDN w:val="0"/>
        <w:autoSpaceDE w:val="0"/>
        <w:widowControl/>
        <w:spacing w:line="230" w:lineRule="auto" w:before="54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36"/>
        </w:rPr>
        <w:t>Investment &amp; Team</w:t>
      </w:r>
    </w:p>
    <w:p>
      <w:pPr>
        <w:autoSpaceDN w:val="0"/>
        <w:autoSpaceDE w:val="0"/>
        <w:widowControl/>
        <w:spacing w:line="230" w:lineRule="auto" w:before="43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The programme is intentionally capital-light: the largest single cost is a 5-node, 1,280 GB distributed inference cluster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that becomes a permanent reusable UPSI AI asset — not a recurring subscription. The software stack is entirely open-</w:t>
      </w:r>
    </w:p>
    <w:p>
      <w:pPr>
        <w:autoSpaceDN w:val="0"/>
        <w:autoSpaceDE w:val="0"/>
        <w:widowControl/>
        <w:spacing w:line="230" w:lineRule="auto" w:before="78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source (RM 0 licensing). The core delivery team is in place. No new senior hires required.</w:t>
      </w:r>
    </w:p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Investment Structure</w:t>
      </w:r>
    </w:p>
    <w:p>
      <w:pPr>
        <w:autoSpaceDN w:val="0"/>
        <w:autoSpaceDE w:val="0"/>
        <w:widowControl/>
        <w:spacing w:line="230" w:lineRule="auto" w:before="24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Investment is concentrated in Phase 0–1 (Months 1–6). From Phase 2 onward, the cost profile is primarily</w:t>
      </w:r>
    </w:p>
    <w:p>
      <w:pPr>
        <w:autoSpaceDN w:val="0"/>
        <w:autoSpaceDE w:val="0"/>
        <w:widowControl/>
        <w:spacing w:line="233" w:lineRule="auto" w:before="68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operational. The hardware investment creates a permanent institutional asset.</w:t>
      </w:r>
    </w:p>
    <w:p>
      <w:pPr>
        <w:autoSpaceDN w:val="0"/>
        <w:autoSpaceDE w:val="0"/>
        <w:widowControl/>
        <w:spacing w:line="230" w:lineRule="auto" w:before="250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9 Investment Breakdown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76"/>
        <w:gridCol w:w="2476"/>
        <w:gridCol w:w="2476"/>
        <w:gridCol w:w="2476"/>
      </w:tblGrid>
      <w:tr>
        <w:trPr>
          <w:trHeight w:hRule="exact" w:val="442"/>
        </w:trPr>
        <w:tc>
          <w:tcPr>
            <w:tcW w:type="dxa" w:w="1658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Category</w:t>
            </w:r>
          </w:p>
        </w:tc>
        <w:tc>
          <w:tcPr>
            <w:tcW w:type="dxa" w:w="6020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4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Component</w:t>
            </w:r>
          </w:p>
        </w:tc>
        <w:tc>
          <w:tcPr>
            <w:tcW w:type="dxa" w:w="900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Timing</w:t>
            </w:r>
          </w:p>
        </w:tc>
        <w:tc>
          <w:tcPr>
            <w:tcW w:type="dxa" w:w="1308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1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Nature</w:t>
            </w:r>
          </w:p>
        </w:tc>
      </w:tr>
      <w:tr>
        <w:trPr>
          <w:trHeight w:hRule="exact" w:val="330"/>
        </w:trPr>
        <w:tc>
          <w:tcPr>
            <w:tcW w:type="dxa" w:w="1658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HARDWARE (one-</w:t>
            </w:r>
          </w:p>
        </w:tc>
        <w:tc>
          <w:tcPr>
            <w:tcW w:type="dxa" w:w="6020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3× NVIDIA DGX Spark Founders Edition (GB10, 128 GB, 4 TB each) — edge</w:t>
            </w:r>
          </w:p>
        </w:tc>
        <w:tc>
          <w:tcPr>
            <w:tcW w:type="dxa" w:w="900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 0</w:t>
            </w:r>
          </w:p>
        </w:tc>
        <w:tc>
          <w:tcPr>
            <w:tcW w:type="dxa" w:w="1308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1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CAPEX</w:t>
            </w:r>
          </w:p>
        </w:tc>
      </w:tr>
      <w:tr>
        <w:trPr>
          <w:trHeight w:hRule="exact" w:val="330"/>
        </w:trPr>
        <w:tc>
          <w:tcPr>
            <w:tcW w:type="dxa" w:w="1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time)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4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deployment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 0</w:t>
            </w:r>
          </w:p>
        </w:tc>
        <w:tc>
          <w:tcPr>
            <w:tcW w:type="dxa" w:w="13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11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CAPEX</w:t>
            </w:r>
          </w:p>
        </w:tc>
      </w:tr>
      <w:tr>
        <w:trPr>
          <w:trHeight w:hRule="exact" w:val="330"/>
        </w:trPr>
        <w:tc>
          <w:tcPr>
            <w:tcW w:type="dxa" w:w="1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HARDWARE (one-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4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2× Apple Mac Studio M3 Ultra (256 GB, 28c CPU, 60c GPU, 4 TB each) —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2476"/>
            <w:vMerge/>
            <w:tcBorders/>
          </w:tcPr>
          <w:p/>
        </w:tc>
      </w:tr>
      <w:tr>
        <w:trPr>
          <w:trHeight w:hRule="exact" w:val="324"/>
        </w:trPr>
        <w:tc>
          <w:tcPr>
            <w:tcW w:type="dxa" w:w="1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time)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4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core cluster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 0</w:t>
            </w:r>
          </w:p>
        </w:tc>
        <w:tc>
          <w:tcPr>
            <w:tcW w:type="dxa" w:w="13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1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CAPEX</w:t>
            </w:r>
          </w:p>
        </w:tc>
      </w:tr>
      <w:tr>
        <w:trPr>
          <w:trHeight w:hRule="exact" w:val="316"/>
        </w:trPr>
        <w:tc>
          <w:tcPr>
            <w:tcW w:type="dxa" w:w="1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HARDWARE (one-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Networking (ConnectX-7 200GbE fabric), rack, UPS, edge enclosures, storage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2476"/>
            <w:vMerge/>
            <w:tcBorders/>
          </w:tcPr>
          <w:p/>
        </w:tc>
      </w:tr>
      <w:tr>
        <w:trPr>
          <w:trHeight w:hRule="exact" w:val="346"/>
        </w:trPr>
        <w:tc>
          <w:tcPr>
            <w:tcW w:type="dxa" w:w="1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time)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4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upgrade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Ongoing</w:t>
            </w:r>
          </w:p>
        </w:tc>
        <w:tc>
          <w:tcPr>
            <w:tcW w:type="dxa" w:w="13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2" w:after="0"/>
              <w:ind w:left="11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RM 0</w:t>
            </w:r>
          </w:p>
        </w:tc>
      </w:tr>
      <w:tr>
        <w:trPr>
          <w:trHeight w:hRule="exact" w:val="314"/>
        </w:trPr>
        <w:tc>
          <w:tcPr>
            <w:tcW w:type="dxa" w:w="1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SOFTWARE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4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Open-source stack (Qwen, Nemotron, Gemma, LlamaIndex, LangGraph,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2476"/>
            <w:vMerge/>
            <w:tcBorders/>
          </w:tcPr>
          <w:p/>
        </w:tc>
      </w:tr>
      <w:tr>
        <w:trPr>
          <w:trHeight w:hRule="exact" w:val="348"/>
        </w:trPr>
        <w:tc>
          <w:tcPr>
            <w:tcW w:type="dxa" w:w="16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CLOUD (optional)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4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Docling, pgvector, LangFuse, Vue 3, FastAPI)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 1+</w:t>
            </w:r>
          </w:p>
        </w:tc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1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licensing</w:t>
            </w:r>
          </w:p>
        </w:tc>
      </w:tr>
      <w:tr>
        <w:trPr>
          <w:trHeight w:hRule="exact" w:val="330"/>
        </w:trPr>
        <w:tc>
          <w:tcPr>
            <w:tcW w:type="dxa" w:w="2476"/>
            <w:vMerge/>
            <w:tcBorders/>
          </w:tcPr>
          <w:p/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4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Anthropic Claude API (&lt;5% of queries, anonymised only, non-human-subject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1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OPEX (low)</w:t>
            </w:r>
          </w:p>
        </w:tc>
      </w:tr>
    </w:tbl>
    <w:p>
      <w:pPr>
        <w:autoSpaceDN w:val="0"/>
        <w:autoSpaceDE w:val="0"/>
        <w:widowControl/>
        <w:spacing w:line="230" w:lineRule="auto" w:before="22" w:after="130"/>
        <w:ind w:left="180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research)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76"/>
        <w:gridCol w:w="2476"/>
        <w:gridCol w:w="2476"/>
        <w:gridCol w:w="2476"/>
      </w:tblGrid>
      <w:tr>
        <w:trPr>
          <w:trHeight w:hRule="exact" w:val="276"/>
        </w:trPr>
        <w:tc>
          <w:tcPr>
            <w:tcW w:type="dxa" w:w="1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PERSONNEL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4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Lead Architect (Putra Nasution, 1.0 FTE), Engineering Team (0.5 FTE)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3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12</w:t>
            </w:r>
          </w:p>
        </w:tc>
        <w:tc>
          <w:tcPr>
            <w:tcW w:type="dxa" w:w="1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3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Professional</w:t>
            </w:r>
          </w:p>
        </w:tc>
      </w:tr>
      <w:tr>
        <w:trPr>
          <w:trHeight w:hRule="exact" w:val="342"/>
        </w:trPr>
        <w:tc>
          <w:tcPr>
            <w:tcW w:type="dxa" w:w="14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TRAINING &amp;</w:t>
            </w:r>
          </w:p>
        </w:tc>
        <w:tc>
          <w:tcPr>
            <w:tcW w:type="dxa" w:w="6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6" w:after="0"/>
              <w:ind w:left="34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Researcher onboarding workshops, user documentation, change management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months</w:t>
            </w:r>
          </w:p>
        </w:tc>
        <w:tc>
          <w:tcPr>
            <w:tcW w:type="dxa" w:w="1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13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fees</w:t>
            </w:r>
          </w:p>
        </w:tc>
      </w:tr>
      <w:tr>
        <w:trPr>
          <w:trHeight w:hRule="exact" w:val="318"/>
        </w:trPr>
        <w:tc>
          <w:tcPr>
            <w:tcW w:type="dxa" w:w="2476"/>
            <w:vMerge/>
            <w:tcBorders/>
          </w:tcPr>
          <w:p/>
        </w:tc>
        <w:tc>
          <w:tcPr>
            <w:tcW w:type="dxa" w:w="2476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23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 2–</w:t>
            </w:r>
          </w:p>
        </w:tc>
        <w:tc>
          <w:tcPr>
            <w:tcW w:type="dxa" w:w="1328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3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OPEX</w:t>
            </w:r>
          </w:p>
        </w:tc>
      </w:tr>
      <w:tr>
        <w:trPr>
          <w:trHeight w:hRule="exact" w:val="368"/>
        </w:trPr>
        <w:tc>
          <w:tcPr>
            <w:tcW w:type="dxa" w:w="145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CHANGE</w:t>
            </w:r>
          </w:p>
        </w:tc>
        <w:tc>
          <w:tcPr>
            <w:tcW w:type="dxa" w:w="612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34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sessions, IRB training</w:t>
            </w:r>
          </w:p>
        </w:tc>
        <w:tc>
          <w:tcPr>
            <w:tcW w:type="dxa" w:w="98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23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340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Delivery Team</w:t>
      </w:r>
    </w:p>
    <w:p>
      <w:pPr>
        <w:autoSpaceDN w:val="0"/>
        <w:autoSpaceDE w:val="0"/>
        <w:widowControl/>
        <w:spacing w:line="233" w:lineRule="auto" w:before="304" w:after="138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10 Team Structure and Responsibilities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460"/>
        </w:trPr>
        <w:tc>
          <w:tcPr>
            <w:tcW w:type="dxa" w:w="2178"/>
            <w:tcBorders>
              <w:top w:sz="12.0" w:val="single" w:color="#333333"/>
              <w:bottom w:sz="6.39999999999963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Role</w:t>
            </w:r>
          </w:p>
        </w:tc>
        <w:tc>
          <w:tcPr>
            <w:tcW w:type="dxa" w:w="1180"/>
            <w:tcBorders>
              <w:top w:sz="12.0" w:val="single" w:color="#333333"/>
              <w:bottom w:sz="6.39999999999963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14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Allocation</w:t>
            </w:r>
          </w:p>
        </w:tc>
        <w:tc>
          <w:tcPr>
            <w:tcW w:type="dxa" w:w="6528"/>
            <w:tcBorders>
              <w:top w:sz="12.0" w:val="single" w:color="#333333"/>
              <w:bottom w:sz="6.39999999999963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72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Responsibilities</w:t>
            </w:r>
          </w:p>
        </w:tc>
      </w:tr>
      <w:tr>
        <w:trPr>
          <w:trHeight w:hRule="exact" w:val="318"/>
        </w:trPr>
        <w:tc>
          <w:tcPr>
            <w:tcW w:type="dxa" w:w="2178"/>
            <w:tcBorders>
              <w:top w:sz="6.3999999999996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Putra Nasution — Lead</w:t>
            </w:r>
          </w:p>
        </w:tc>
        <w:tc>
          <w:tcPr>
            <w:tcW w:type="dxa" w:w="1180"/>
            <w:tcBorders>
              <w:top w:sz="6.3999999999996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1.0 FTE · 12</w:t>
            </w:r>
          </w:p>
        </w:tc>
        <w:tc>
          <w:tcPr>
            <w:tcW w:type="dxa" w:w="6528"/>
            <w:tcBorders>
              <w:top w:sz="6.3999999999996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7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Full programme design and delivery. System architecture, FastAPI gateway, RAG</w:t>
            </w:r>
          </w:p>
        </w:tc>
      </w:tr>
      <w:tr>
        <w:trPr>
          <w:trHeight w:hRule="exact" w:val="260"/>
        </w:trPr>
        <w:tc>
          <w:tcPr>
            <w:tcW w:type="dxa" w:w="2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Architect &amp; Principal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11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months</w:t>
            </w:r>
          </w:p>
        </w:tc>
        <w:tc>
          <w:tcPr>
            <w:tcW w:type="dxa" w:w="6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pipeline, Text-to-SQL engine, LangGraph agents, Agent Registry, Vue 3 Workbench,</w:t>
            </w:r>
          </w:p>
        </w:tc>
      </w:tr>
      <w:tr>
        <w:trPr>
          <w:trHeight w:hRule="exact" w:val="344"/>
        </w:trPr>
        <w:tc>
          <w:tcPr>
            <w:tcW w:type="dxa" w:w="2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Consultant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0.5 FTE · 12</w:t>
            </w:r>
          </w:p>
        </w:tc>
        <w:tc>
          <w:tcPr>
            <w:tcW w:type="dxa" w:w="6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17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CI harness, all 10 Claude Code priority tasks.</w:t>
            </w:r>
          </w:p>
        </w:tc>
      </w:tr>
      <w:tr>
        <w:trPr>
          <w:trHeight w:hRule="exact" w:val="316"/>
        </w:trPr>
        <w:tc>
          <w:tcPr>
            <w:tcW w:type="dxa" w:w="2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Engineering Team (remote)</w:t>
            </w:r>
          </w:p>
        </w:tc>
        <w:tc>
          <w:tcPr>
            <w:tcW w:type="dxa" w:w="3302"/>
            <w:vMerge/>
            <w:tcBorders/>
          </w:tcPr>
          <w:p/>
        </w:tc>
        <w:tc>
          <w:tcPr>
            <w:tcW w:type="dxa" w:w="6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7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Frontend development (Vue 3 Workbench), testing, documentation, LangFuse</w:t>
            </w:r>
          </w:p>
        </w:tc>
      </w:tr>
      <w:tr>
        <w:trPr>
          <w:trHeight w:hRule="exact" w:val="340"/>
        </w:trPr>
        <w:tc>
          <w:tcPr>
            <w:tcW w:type="dxa" w:w="21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Dr. Suzani Mohamad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1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months</w:t>
            </w:r>
          </w:p>
        </w:tc>
        <w:tc>
          <w:tcPr>
            <w:tcW w:type="dxa" w:w="6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7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instrumentation, support engineering under Lead Architect direction.</w:t>
            </w:r>
          </w:p>
        </w:tc>
      </w:tr>
      <w:tr>
        <w:trPr>
          <w:trHeight w:hRule="exact" w:val="320"/>
        </w:trPr>
        <w:tc>
          <w:tcPr>
            <w:tcW w:type="dxa" w:w="3302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11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50% · 12</w:t>
            </w:r>
          </w:p>
        </w:tc>
        <w:tc>
          <w:tcPr>
            <w:tcW w:type="dxa" w:w="6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17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Technical architecture oversight, design decisions, stakeholder engagement,</w:t>
            </w:r>
          </w:p>
        </w:tc>
      </w:tr>
      <w:tr>
        <w:trPr>
          <w:trHeight w:hRule="exact" w:val="272"/>
        </w:trPr>
        <w:tc>
          <w:tcPr>
            <w:tcW w:type="dxa" w:w="2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Samuri — Oversight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1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months</w:t>
            </w:r>
          </w:p>
        </w:tc>
        <w:tc>
          <w:tcPr>
            <w:tcW w:type="dxa" w:w="6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7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evaluation oversight, final technical sign-off.</w:t>
            </w:r>
          </w:p>
        </w:tc>
      </w:tr>
    </w:tbl>
    <w:p>
      <w:pPr>
        <w:autoSpaceDN w:val="0"/>
        <w:autoSpaceDE w:val="0"/>
        <w:widowControl/>
        <w:spacing w:line="230" w:lineRule="auto" w:before="20" w:after="13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Director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282"/>
        </w:trPr>
        <w:tc>
          <w:tcPr>
            <w:tcW w:type="dxa" w:w="1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Agentic Engineering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7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Continuous</w:t>
            </w:r>
          </w:p>
        </w:tc>
        <w:tc>
          <w:tcPr>
            <w:tcW w:type="dxa" w:w="6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Schema introspection, scaffolding, test generation, documentation — across all 10</w:t>
            </w:r>
          </w:p>
        </w:tc>
      </w:tr>
      <w:tr>
        <w:trPr>
          <w:trHeight w:hRule="exact" w:val="338"/>
        </w:trPr>
        <w:tc>
          <w:tcPr>
            <w:tcW w:type="dxa" w:w="1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Platform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0" w:after="0"/>
              <w:ind w:left="0" w:right="12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20% in Phase</w:t>
            </w:r>
          </w:p>
        </w:tc>
        <w:tc>
          <w:tcPr>
            <w:tcW w:type="dxa" w:w="6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priority agentic workstreams.</w:t>
            </w:r>
          </w:p>
        </w:tc>
      </w:tr>
      <w:tr>
        <w:trPr>
          <w:trHeight w:hRule="exact" w:val="322"/>
        </w:trPr>
        <w:tc>
          <w:tcPr>
            <w:tcW w:type="dxa" w:w="1918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UPSI DBA Team</w:t>
            </w:r>
          </w:p>
        </w:tc>
        <w:tc>
          <w:tcPr>
            <w:tcW w:type="dxa" w:w="3302"/>
            <w:vMerge/>
            <w:tcBorders/>
          </w:tcPr>
          <w:p/>
        </w:tc>
        <w:tc>
          <w:tcPr>
            <w:tcW w:type="dxa" w:w="6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PostgreSQL replication setup, AI read replica provisioning, schema introspection</w:t>
            </w:r>
          </w:p>
        </w:tc>
      </w:tr>
      <w:tr>
        <w:trPr>
          <w:trHeight w:hRule="exact" w:val="360"/>
        </w:trPr>
        <w:tc>
          <w:tcPr>
            <w:tcW w:type="dxa" w:w="3302"/>
            <w:vMerge/>
            <w:tcBorders>
              <w:bottom w:sz="12.0" w:val="single" w:color="#333333"/>
            </w:tcBorders>
          </w:tcPr>
          <w:p/>
        </w:tc>
        <w:tc>
          <w:tcPr>
            <w:tcW w:type="dxa" w:w="148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83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0–1</w:t>
            </w:r>
          </w:p>
        </w:tc>
        <w:tc>
          <w:tcPr>
            <w:tcW w:type="dxa" w:w="648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support.</w:t>
            </w:r>
          </w:p>
        </w:tc>
      </w:tr>
    </w:tbl>
    <w:p>
      <w:pPr>
        <w:autoSpaceDN w:val="0"/>
        <w:autoSpaceDE w:val="0"/>
        <w:widowControl/>
        <w:spacing w:line="233" w:lineRule="auto" w:before="68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16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512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Investment &amp; Team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278"/>
        </w:trPr>
        <w:tc>
          <w:tcPr>
            <w:tcW w:type="dxa" w:w="3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UPSI Research Community — Golden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20% in Phase</w:t>
            </w:r>
          </w:p>
        </w:tc>
        <w:tc>
          <w:tcPr>
            <w:tcW w:type="dxa" w:w="5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Golden evaluation set authorship, query validation, feedback loop</w:t>
            </w:r>
          </w:p>
        </w:tc>
      </w:tr>
      <w:tr>
        <w:trPr>
          <w:trHeight w:hRule="exact" w:val="340"/>
        </w:trPr>
        <w:tc>
          <w:tcPr>
            <w:tcW w:type="dxa" w:w="3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Set Authors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22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0</w:t>
            </w:r>
          </w:p>
        </w:tc>
        <w:tc>
          <w:tcPr>
            <w:tcW w:type="dxa" w:w="5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5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participation.</w:t>
            </w:r>
          </w:p>
        </w:tc>
      </w:tr>
      <w:tr>
        <w:trPr>
          <w:trHeight w:hRule="exact" w:val="320"/>
        </w:trPr>
        <w:tc>
          <w:tcPr>
            <w:tcW w:type="dxa" w:w="3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UPSI IRB / Ethics Committee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22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Milestone-</w:t>
            </w:r>
          </w:p>
        </w:tc>
        <w:tc>
          <w:tcPr>
            <w:tcW w:type="dxa" w:w="5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Ethics workflow review, IRB gate validation, compliance attestation at</w:t>
            </w:r>
          </w:p>
        </w:tc>
      </w:tr>
      <w:tr>
        <w:trPr>
          <w:trHeight w:hRule="exact" w:val="342"/>
        </w:trPr>
        <w:tc>
          <w:tcPr>
            <w:tcW w:type="dxa" w:w="3098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UPSI Legal &amp; Compliance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22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based</w:t>
            </w:r>
          </w:p>
        </w:tc>
        <w:tc>
          <w:tcPr>
            <w:tcW w:type="dxa" w:w="5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5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each phase gate.</w:t>
            </w:r>
          </w:p>
        </w:tc>
      </w:tr>
      <w:tr>
        <w:trPr>
          <w:trHeight w:hRule="exact" w:val="318"/>
        </w:trPr>
        <w:tc>
          <w:tcPr>
            <w:tcW w:type="dxa" w:w="3302"/>
            <w:vMerge/>
            <w:tcBorders>
              <w:bottom w:sz="12.0" w:val="single" w:color="#333333"/>
            </w:tcBorders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22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Milestone-</w:t>
            </w:r>
          </w:p>
        </w:tc>
        <w:tc>
          <w:tcPr>
            <w:tcW w:type="dxa" w:w="5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Anthropic DPA review, PDPA compliance sign-off, audit engagement at</w:t>
            </w:r>
          </w:p>
        </w:tc>
      </w:tr>
      <w:tr>
        <w:trPr>
          <w:trHeight w:hRule="exact" w:val="364"/>
        </w:trPr>
        <w:tc>
          <w:tcPr>
            <w:tcW w:type="dxa" w:w="3302"/>
            <w:vMerge/>
            <w:tcBorders>
              <w:bottom w:sz="12.0" w:val="single" w:color="#333333"/>
            </w:tcBorders>
          </w:tcPr>
          <w:p/>
        </w:tc>
        <w:tc>
          <w:tcPr>
            <w:tcW w:type="dxa" w:w="134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22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based</w:t>
            </w:r>
          </w:p>
        </w:tc>
        <w:tc>
          <w:tcPr>
            <w:tcW w:type="dxa" w:w="544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15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each phase gate.</w:t>
            </w:r>
          </w:p>
        </w:tc>
      </w:tr>
    </w:tbl>
    <w:p>
      <w:pPr>
        <w:autoSpaceDN w:val="0"/>
        <w:autoSpaceDE w:val="0"/>
        <w:widowControl/>
        <w:spacing w:line="233" w:lineRule="auto" w:before="34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Governance Model</w:t>
      </w:r>
    </w:p>
    <w:p>
      <w:pPr>
        <w:autoSpaceDN w:val="0"/>
        <w:autoSpaceDE w:val="0"/>
        <w:widowControl/>
        <w:spacing w:line="286" w:lineRule="auto" w:before="240" w:after="0"/>
        <w:ind w:left="0" w:right="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The programme has four governance layers, each with a defined remit and escalation path. The Deputy Vice-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Chancellor (Research &amp; Innovation) chairs the Steering Committee and is the final approver of phase gate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transitions. Day-to-day delivery decisions rest with the Lead Architect. Every gate decision is recorded in the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auditable programme decision log.</w:t>
      </w:r>
    </w:p>
    <w:p>
      <w:pPr>
        <w:autoSpaceDN w:val="0"/>
        <w:autoSpaceDE w:val="0"/>
        <w:widowControl/>
        <w:spacing w:line="230" w:lineRule="auto" w:before="268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C5364"/>
          <w:sz w:val="22"/>
        </w:rPr>
        <w:t>Four Governance Layers (Proposed)</w:t>
      </w:r>
    </w:p>
    <w:p>
      <w:pPr>
        <w:autoSpaceDN w:val="0"/>
        <w:autoSpaceDE w:val="0"/>
        <w:widowControl/>
        <w:spacing w:line="230" w:lineRule="auto" w:before="250" w:after="152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11 Governance Structure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446"/>
        </w:trPr>
        <w:tc>
          <w:tcPr>
            <w:tcW w:type="dxa" w:w="1458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Layer</w:t>
            </w:r>
          </w:p>
        </w:tc>
        <w:tc>
          <w:tcPr>
            <w:tcW w:type="dxa" w:w="3920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Composition</w:t>
            </w:r>
          </w:p>
        </w:tc>
        <w:tc>
          <w:tcPr>
            <w:tcW w:type="dxa" w:w="4508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19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Remit</w:t>
            </w:r>
          </w:p>
        </w:tc>
      </w:tr>
      <w:tr>
        <w:trPr>
          <w:trHeight w:hRule="exact" w:val="310"/>
        </w:trPr>
        <w:tc>
          <w:tcPr>
            <w:tcW w:type="dxa" w:w="1458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Steering</w:t>
            </w:r>
          </w:p>
        </w:tc>
        <w:tc>
          <w:tcPr>
            <w:tcW w:type="dxa" w:w="3920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DVC R&amp;I (Chair) · ICT Director · Research</w:t>
            </w:r>
          </w:p>
        </w:tc>
        <w:tc>
          <w:tcPr>
            <w:tcW w:type="dxa" w:w="4508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 gate approvals · scope change decisions · budget</w:t>
            </w:r>
          </w:p>
        </w:tc>
      </w:tr>
      <w:tr>
        <w:trPr>
          <w:trHeight w:hRule="exact" w:val="280"/>
        </w:trPr>
        <w:tc>
          <w:tcPr>
            <w:tcW w:type="dxa" w:w="1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Committee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Directors · Legal / Compliance · IRB Chair · Lead</w:t>
            </w:r>
          </w:p>
        </w:tc>
        <w:tc>
          <w:tcPr>
            <w:tcW w:type="dxa" w:w="4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1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variance &gt;10% · policy-level decisions · programme</w:t>
            </w:r>
          </w:p>
        </w:tc>
      </w:tr>
      <w:tr>
        <w:trPr>
          <w:trHeight w:hRule="exact" w:val="332"/>
        </w:trPr>
        <w:tc>
          <w:tcPr>
            <w:tcW w:type="dxa" w:w="14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Technical Review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Architect · Systems Engineer</w:t>
            </w:r>
          </w:p>
        </w:tc>
        <w:tc>
          <w:tcPr>
            <w:tcW w:type="dxa" w:w="4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health oversight</w:t>
            </w:r>
          </w:p>
        </w:tc>
      </w:tr>
      <w:tr>
        <w:trPr>
          <w:trHeight w:hRule="exact" w:val="328"/>
        </w:trPr>
        <w:tc>
          <w:tcPr>
            <w:tcW w:type="dxa" w:w="3302"/>
            <w:vMerge/>
            <w:tcBorders/>
          </w:tcPr>
          <w:p/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Lead Architect (Chair) · Systems Engineer · DBA</w:t>
            </w:r>
          </w:p>
        </w:tc>
        <w:tc>
          <w:tcPr>
            <w:tcW w:type="dxa" w:w="4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Design decisions · architecture changes · model swaps ·</w:t>
            </w:r>
          </w:p>
        </w:tc>
      </w:tr>
      <w:tr>
        <w:trPr>
          <w:trHeight w:hRule="exact" w:val="266"/>
        </w:trPr>
        <w:tc>
          <w:tcPr>
            <w:tcW w:type="dxa" w:w="1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Board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lead · Security lead · External AI expert (optional)</w:t>
            </w:r>
          </w:p>
        </w:tc>
        <w:tc>
          <w:tcPr>
            <w:tcW w:type="dxa" w:w="4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schema.yaml / tools.yaml changes · regression gate</w:t>
            </w:r>
          </w:p>
        </w:tc>
      </w:tr>
    </w:tbl>
    <w:p>
      <w:pPr>
        <w:autoSpaceDN w:val="0"/>
        <w:autoSpaceDE w:val="0"/>
        <w:widowControl/>
        <w:spacing w:line="230" w:lineRule="auto" w:before="12" w:after="132"/>
        <w:ind w:left="0" w:right="356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exceptions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7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Compliance &amp;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IRB Chair (Chair) · PDPA review · Compliance lead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Ethics workflow review · IRB gate validation · PDPA</w:t>
            </w:r>
          </w:p>
        </w:tc>
      </w:tr>
      <w:tr>
        <w:trPr>
          <w:trHeight w:hRule="exact" w:val="28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Ethics Forum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2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· Legal rep · ICT Security · Lead Architect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audit log review · escalation path validation · quarterly</w:t>
            </w:r>
          </w:p>
        </w:tc>
      </w:tr>
    </w:tbl>
    <w:p>
      <w:pPr>
        <w:autoSpaceDN w:val="0"/>
        <w:autoSpaceDE w:val="0"/>
        <w:widowControl/>
        <w:spacing w:line="230" w:lineRule="auto" w:before="28" w:after="146"/>
        <w:ind w:left="0" w:right="271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compliance attestation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284"/>
        </w:trPr>
        <w:tc>
          <w:tcPr>
            <w:tcW w:type="dxa" w:w="1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User Advisory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 officer reps · Postdoc rep · Graduate</w:t>
            </w:r>
          </w:p>
        </w:tc>
        <w:tc>
          <w:tcPr>
            <w:tcW w:type="dxa" w:w="4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User feedback synthesis · adoption barrier identification ·</w:t>
            </w:r>
          </w:p>
        </w:tc>
      </w:tr>
      <w:tr>
        <w:trPr>
          <w:trHeight w:hRule="exact" w:val="240"/>
        </w:trPr>
        <w:tc>
          <w:tcPr>
            <w:tcW w:type="dxa" w:w="1338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Panel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student rep · Lab director rep · IRB officer rep</w:t>
            </w:r>
          </w:p>
        </w:tc>
        <w:tc>
          <w:tcPr>
            <w:tcW w:type="dxa" w:w="4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33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UX improvement recommendations · golden set</w:t>
            </w:r>
          </w:p>
        </w:tc>
      </w:tr>
      <w:tr>
        <w:trPr>
          <w:trHeight w:hRule="exact" w:val="372"/>
        </w:trPr>
        <w:tc>
          <w:tcPr>
            <w:tcW w:type="dxa" w:w="3302"/>
            <w:vMerge/>
            <w:tcBorders>
              <w:bottom w:sz="12.0" w:val="single" w:color="#333333"/>
            </w:tcBorders>
          </w:tcPr>
          <w:p/>
        </w:tc>
        <w:tc>
          <w:tcPr>
            <w:tcW w:type="dxa" w:w="390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2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(rotating)</w:t>
            </w:r>
          </w:p>
        </w:tc>
        <w:tc>
          <w:tcPr>
            <w:tcW w:type="dxa" w:w="464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33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prioritisation</w:t>
            </w:r>
          </w:p>
        </w:tc>
      </w:tr>
    </w:tbl>
    <w:p>
      <w:pPr>
        <w:autoSpaceDN w:val="0"/>
        <w:autoSpaceDE w:val="0"/>
        <w:widowControl/>
        <w:spacing w:line="230" w:lineRule="auto" w:before="254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C5364"/>
          <w:sz w:val="22"/>
        </w:rPr>
        <w:t>Phase Gate Approval Flow</w:t>
      </w:r>
    </w:p>
    <w:p>
      <w:pPr>
        <w:autoSpaceDN w:val="0"/>
        <w:autoSpaceDE w:val="0"/>
        <w:widowControl/>
        <w:spacing w:line="230" w:lineRule="auto" w:before="172" w:after="0"/>
        <w:ind w:left="4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1. Lead Architect convenes the Technical Review Board to verify exit criteria are met.</w:t>
      </w:r>
    </w:p>
    <w:p>
      <w:pPr>
        <w:autoSpaceDN w:val="0"/>
        <w:autoSpaceDE w:val="0"/>
        <w:widowControl/>
        <w:spacing w:line="230" w:lineRule="auto" w:before="128" w:after="0"/>
        <w:ind w:left="4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2. Technical sign-off is documented and shared with Steering Committee 5 business days before the gate meeting.</w:t>
      </w:r>
    </w:p>
    <w:p>
      <w:pPr>
        <w:autoSpaceDN w:val="0"/>
        <w:autoSpaceDE w:val="0"/>
        <w:widowControl/>
        <w:spacing w:line="230" w:lineRule="auto" w:before="114" w:after="0"/>
        <w:ind w:left="4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3. Steering Committee reviews the gate package: exit criteria status, metrics, risk updates, and the next phase plan.</w:t>
      </w:r>
    </w:p>
    <w:p>
      <w:pPr>
        <w:autoSpaceDN w:val="0"/>
        <w:autoSpaceDE w:val="0"/>
        <w:widowControl/>
        <w:spacing w:line="233" w:lineRule="auto" w:before="112" w:after="0"/>
        <w:ind w:left="4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4. DVC R&amp;I approves, defers (with specific remediation actions), or declines the gate.</w:t>
      </w:r>
    </w:p>
    <w:p>
      <w:pPr>
        <w:autoSpaceDN w:val="0"/>
        <w:autoSpaceDE w:val="0"/>
        <w:widowControl/>
        <w:spacing w:line="230" w:lineRule="auto" w:before="128" w:after="0"/>
        <w:ind w:left="4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5. Decision is recorded in the programme decision log, which is auditable.</w:t>
      </w:r>
    </w:p>
    <w:p>
      <w:pPr>
        <w:autoSpaceDN w:val="0"/>
        <w:autoSpaceDE w:val="0"/>
        <w:widowControl/>
        <w:spacing w:line="230" w:lineRule="auto" w:before="37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What We Need From Leadership</w:t>
      </w:r>
    </w:p>
    <w:p>
      <w:pPr>
        <w:autoSpaceDN w:val="0"/>
        <w:autoSpaceDE w:val="0"/>
        <w:widowControl/>
        <w:spacing w:line="281" w:lineRule="auto" w:before="242" w:after="0"/>
        <w:ind w:left="0" w:right="26" w:firstLine="0"/>
        <w:jc w:val="both"/>
      </w:pPr>
      <w:r>
        <w:rPr>
          <w:rFonts w:ascii="Liberation Serif" w:hAnsi="Liberation Serif" w:eastAsia="Liberation Serif"/>
          <w:b/>
          <w:i w:val="0"/>
          <w:color w:val="0F2027"/>
          <w:sz w:val="21"/>
        </w:rPr>
        <w:t>WE ARE REQUESTING APPROVAL TO PROCEED WITH PHASE 0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 — a 2-month validation sprint. No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production capability is built in Phase 0 — it is a de-risking investment that answers the three questions we cannot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answer from paper alone. Phase 1 approval is a separate decision, requested at the Phase 0 exit gate with benchmark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results and SSO validation in hand.</w:t>
      </w:r>
    </w:p>
    <w:p>
      <w:pPr>
        <w:autoSpaceDN w:val="0"/>
        <w:autoSpaceDE w:val="0"/>
        <w:widowControl/>
        <w:spacing w:line="230" w:lineRule="auto" w:before="284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C5364"/>
          <w:sz w:val="22"/>
        </w:rPr>
        <w:t>The Three Questions Phase 0 Answers</w:t>
      </w:r>
    </w:p>
    <w:p>
      <w:pPr>
        <w:autoSpaceDN w:val="0"/>
        <w:autoSpaceDE w:val="0"/>
        <w:widowControl/>
        <w:spacing w:line="233" w:lineRule="auto" w:before="936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17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Investment &amp; Team</w:t>
      </w:r>
    </w:p>
    <w:p>
      <w:pPr>
        <w:autoSpaceDN w:val="0"/>
        <w:autoSpaceDE w:val="0"/>
        <w:widowControl/>
        <w:spacing w:line="233" w:lineRule="auto" w:before="682" w:after="156"/>
        <w:ind w:left="8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12 Phase 0 Validation Questions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307"/>
        <w:gridCol w:w="3307"/>
        <w:gridCol w:w="3307"/>
      </w:tblGrid>
      <w:tr>
        <w:trPr>
          <w:trHeight w:hRule="exact" w:val="458"/>
        </w:trPr>
        <w:tc>
          <w:tcPr>
            <w:tcW w:type="dxa" w:w="258"/>
            <w:tcBorders>
              <w:top w:sz="12.0" w:val="single" w:color="#333333"/>
              <w:bottom w:sz="5.600000000000023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#</w:t>
            </w:r>
          </w:p>
        </w:tc>
        <w:tc>
          <w:tcPr>
            <w:tcW w:type="dxa" w:w="3680"/>
            <w:tcBorders>
              <w:top w:sz="12.0" w:val="single" w:color="#333333"/>
              <w:bottom w:sz="5.600000000000023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8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Question</w:t>
            </w:r>
          </w:p>
        </w:tc>
        <w:tc>
          <w:tcPr>
            <w:tcW w:type="dxa" w:w="5948"/>
            <w:tcBorders>
              <w:top w:sz="12.0" w:val="single" w:color="#333333"/>
              <w:bottom w:sz="5.600000000000023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How Phase 0 Answers It</w:t>
            </w:r>
          </w:p>
        </w:tc>
      </w:tr>
      <w:tr>
        <w:trPr>
          <w:trHeight w:hRule="exact" w:val="308"/>
        </w:trPr>
        <w:tc>
          <w:tcPr>
            <w:tcW w:type="dxa" w:w="258"/>
            <w:tcBorders>
              <w:top w:sz="5.600000000000023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3680"/>
            <w:tcBorders>
              <w:top w:sz="5.600000000000023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Will the selected model perform well enough on</w:t>
            </w:r>
          </w:p>
        </w:tc>
        <w:tc>
          <w:tcPr>
            <w:tcW w:type="dxa" w:w="5948"/>
            <w:tcBorders>
              <w:top w:sz="5.600000000000023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Formal benchmark: Qwen3.6-35B-A3B vs Gemma 4-31B vs Nemotron-3</w:t>
            </w:r>
          </w:p>
        </w:tc>
      </w:tr>
      <w:tr>
        <w:trPr>
          <w:trHeight w:hRule="exact" w:val="336"/>
        </w:trPr>
        <w:tc>
          <w:tcPr>
            <w:tcW w:type="dxa" w:w="2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8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UPSI's bilingual research content?</w:t>
            </w:r>
          </w:p>
        </w:tc>
        <w:tc>
          <w:tcPr>
            <w:tcW w:type="dxa" w:w="5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Super on a 50-entry Malay/English research-domain golden set</w:t>
            </w:r>
          </w:p>
        </w:tc>
      </w:tr>
      <w:tr>
        <w:trPr>
          <w:trHeight w:hRule="exact" w:val="330"/>
        </w:trPr>
        <w:tc>
          <w:tcPr>
            <w:tcW w:type="dxa" w:w="3307"/>
            <w:vMerge/>
            <w:tcBorders/>
          </w:tcPr>
          <w:p/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Can we cleanly bridge the institutional SSO into</w:t>
            </w:r>
          </w:p>
        </w:tc>
        <w:tc>
          <w:tcPr>
            <w:tcW w:type="dxa" w:w="5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SSO protocol discovery + working bridge prototype validated end-to-end</w:t>
            </w:r>
          </w:p>
        </w:tc>
      </w:tr>
    </w:tbl>
    <w:p>
      <w:pPr>
        <w:autoSpaceDN w:val="0"/>
        <w:autoSpaceDE w:val="0"/>
        <w:widowControl/>
        <w:spacing w:line="230" w:lineRule="auto" w:before="12" w:after="146"/>
        <w:ind w:left="35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Vue 3 Workbench JWTs?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307"/>
        <w:gridCol w:w="3307"/>
        <w:gridCol w:w="3307"/>
      </w:tblGrid>
      <w:tr>
        <w:trPr>
          <w:trHeight w:hRule="exact" w:val="280"/>
        </w:trPr>
        <w:tc>
          <w:tcPr>
            <w:tcW w:type="dxa" w:w="258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Can we build an IRB ethics gate that adds</w:t>
            </w:r>
          </w:p>
        </w:tc>
        <w:tc>
          <w:tcPr>
            <w:tcW w:type="dxa" w:w="6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Prototype IRB risk classifier for 5 common research types; latency</w:t>
            </w:r>
          </w:p>
        </w:tc>
      </w:tr>
      <w:tr>
        <w:trPr>
          <w:trHeight w:hRule="exact" w:val="362"/>
        </w:trPr>
        <w:tc>
          <w:tcPr>
            <w:tcW w:type="dxa" w:w="3307"/>
            <w:vMerge/>
            <w:tcBorders>
              <w:bottom w:sz="12.0" w:val="single" w:color="#333333"/>
            </w:tcBorders>
          </w:tcPr>
          <w:p/>
        </w:tc>
        <w:tc>
          <w:tcPr>
            <w:tcW w:type="dxa" w:w="346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8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&lt;500ms latency to agent workflows?</w:t>
            </w:r>
          </w:p>
        </w:tc>
        <w:tc>
          <w:tcPr>
            <w:tcW w:type="dxa" w:w="616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3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benchmarked against golden set</w:t>
            </w:r>
          </w:p>
        </w:tc>
      </w:tr>
    </w:tbl>
    <w:p>
      <w:pPr>
        <w:autoSpaceDN w:val="0"/>
        <w:autoSpaceDE w:val="0"/>
        <w:widowControl/>
        <w:spacing w:line="230" w:lineRule="auto" w:before="240" w:after="0"/>
        <w:ind w:left="8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C5364"/>
          <w:sz w:val="22"/>
        </w:rPr>
        <w:t>What We Need Approved</w:t>
      </w:r>
    </w:p>
    <w:p>
      <w:pPr>
        <w:autoSpaceDN w:val="0"/>
        <w:autoSpaceDE w:val="0"/>
        <w:widowControl/>
        <w:spacing w:line="230" w:lineRule="auto" w:before="248" w:after="154"/>
        <w:ind w:left="8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13 Approval Requests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960"/>
        <w:gridCol w:w="4960"/>
      </w:tblGrid>
      <w:tr>
        <w:trPr>
          <w:trHeight w:hRule="exact" w:val="446"/>
        </w:trPr>
        <w:tc>
          <w:tcPr>
            <w:tcW w:type="dxa" w:w="1718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Ask</w:t>
            </w:r>
          </w:p>
        </w:tc>
        <w:tc>
          <w:tcPr>
            <w:tcW w:type="dxa" w:w="8168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55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Specifics</w:t>
            </w:r>
          </w:p>
        </w:tc>
      </w:tr>
      <w:tr>
        <w:trPr>
          <w:trHeight w:hRule="exact" w:val="328"/>
        </w:trPr>
        <w:tc>
          <w:tcPr>
            <w:tcW w:type="dxa" w:w="1718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 0 budget</w:t>
            </w:r>
          </w:p>
        </w:tc>
        <w:tc>
          <w:tcPr>
            <w:tcW w:type="dxa" w:w="8168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Hardware procurement authorisation (5-node cluster: 3× DGX Spark + 2× Mac Studio M3 Ultra);</w:t>
            </w:r>
          </w:p>
        </w:tc>
      </w:tr>
    </w:tbl>
    <w:p>
      <w:pPr>
        <w:autoSpaceDN w:val="0"/>
        <w:autoSpaceDE w:val="0"/>
        <w:widowControl/>
        <w:spacing w:line="230" w:lineRule="auto" w:before="12" w:after="0"/>
        <w:ind w:left="228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prorated budget; contingency for minor consumables.</w:t>
      </w:r>
    </w:p>
    <w:p>
      <w:pPr>
        <w:autoSpaceDN w:val="0"/>
        <w:tabs>
          <w:tab w:pos="2284" w:val="left"/>
        </w:tabs>
        <w:autoSpaceDE w:val="0"/>
        <w:widowControl/>
        <w:spacing w:line="230" w:lineRule="auto" w:before="206" w:after="0"/>
        <w:ind w:left="9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SSO team collaboration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Dedicated 2-week engagement with UPSI ICT SSO team in Phase 0, Week 1. Without this, Phase 1</w:t>
      </w:r>
    </w:p>
    <w:p>
      <w:pPr>
        <w:autoSpaceDN w:val="0"/>
        <w:autoSpaceDE w:val="0"/>
        <w:widowControl/>
        <w:spacing w:line="230" w:lineRule="auto" w:before="56" w:after="0"/>
        <w:ind w:left="228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cannot begin on schedule.</w:t>
      </w:r>
    </w:p>
    <w:p>
      <w:pPr>
        <w:autoSpaceDN w:val="0"/>
        <w:tabs>
          <w:tab w:pos="2284" w:val="left"/>
        </w:tabs>
        <w:autoSpaceDE w:val="0"/>
        <w:widowControl/>
        <w:spacing w:line="230" w:lineRule="auto" w:before="206" w:after="0"/>
        <w:ind w:left="9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Hardware procurement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Expedited procurement for DGX Spark Founders Edition units and Mac Studios; 6-week delivery</w:t>
      </w:r>
    </w:p>
    <w:p>
      <w:pPr>
        <w:autoSpaceDN w:val="0"/>
        <w:tabs>
          <w:tab w:pos="2284" w:val="left"/>
        </w:tabs>
        <w:autoSpaceDE w:val="0"/>
        <w:widowControl/>
        <w:spacing w:line="230" w:lineRule="auto" w:before="54" w:after="0"/>
        <w:ind w:left="9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fast-track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window to avoid Phase 0 schedule slip.</w:t>
      </w:r>
    </w:p>
    <w:p>
      <w:pPr>
        <w:autoSpaceDN w:val="0"/>
        <w:tabs>
          <w:tab w:pos="2284" w:val="left"/>
        </w:tabs>
        <w:autoSpaceDE w:val="0"/>
        <w:widowControl/>
        <w:spacing w:line="230" w:lineRule="auto" w:before="206" w:after="0"/>
        <w:ind w:left="9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IRB engagement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UPSI IRB Committee to designate 2 reviewers for Phase 0 ethics workflow prototype validation.</w:t>
      </w:r>
    </w:p>
    <w:p>
      <w:pPr>
        <w:autoSpaceDN w:val="0"/>
        <w:tabs>
          <w:tab w:pos="2284" w:val="left"/>
        </w:tabs>
        <w:autoSpaceDE w:val="0"/>
        <w:widowControl/>
        <w:spacing w:line="230" w:lineRule="auto" w:before="192" w:after="0"/>
        <w:ind w:left="9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Legal engagement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UPSI Legal to begin Anthropic Data Processing Agreement review during Phase 0 so that cloud</w:t>
      </w:r>
    </w:p>
    <w:p>
      <w:pPr>
        <w:autoSpaceDN w:val="0"/>
        <w:autoSpaceDE w:val="0"/>
        <w:widowControl/>
        <w:spacing w:line="230" w:lineRule="auto" w:before="56" w:after="146"/>
        <w:ind w:left="228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escalation is available on Day 1 of Phase 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960"/>
        <w:gridCol w:w="4960"/>
      </w:tblGrid>
      <w:tr>
        <w:trPr>
          <w:trHeight w:hRule="exact" w:val="1304"/>
        </w:trPr>
        <w:tc>
          <w:tcPr>
            <w:tcW w:type="dxa" w:w="211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Research community time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allocation</w:t>
            </w:r>
          </w:p>
          <w:p>
            <w:pPr>
              <w:autoSpaceDN w:val="0"/>
              <w:autoSpaceDE w:val="0"/>
              <w:widowControl/>
              <w:spacing w:line="262" w:lineRule="auto" w:before="206" w:after="0"/>
              <w:ind w:left="86" w:right="72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DVC R&amp;I visible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sponsorship</w:t>
            </w:r>
          </w:p>
        </w:tc>
        <w:tc>
          <w:tcPr>
            <w:tcW w:type="dxa" w:w="776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158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Identified research community members to contribute ~20% time in Phase 0 for golden set authorship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and domain validation.</w:t>
            </w:r>
          </w:p>
          <w:p>
            <w:pPr>
              <w:autoSpaceDN w:val="0"/>
              <w:autoSpaceDE w:val="0"/>
              <w:widowControl/>
              <w:spacing w:line="262" w:lineRule="auto" w:before="206" w:after="0"/>
              <w:ind w:left="158" w:right="72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DVC R&amp;I to chair the Steering Committee and serve as the visible programme champion. This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dramatically increases cross-functional collaboration velocity.</w:t>
            </w:r>
          </w:p>
        </w:tc>
      </w:tr>
    </w:tbl>
    <w:p>
      <w:pPr>
        <w:autoSpaceDN w:val="0"/>
        <w:autoSpaceDE w:val="0"/>
        <w:widowControl/>
        <w:spacing w:line="230" w:lineRule="auto" w:before="238" w:after="0"/>
        <w:ind w:left="8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C5364"/>
          <w:sz w:val="22"/>
        </w:rPr>
        <w:t>What We Are Not Asking For</w:t>
      </w:r>
    </w:p>
    <w:p>
      <w:pPr>
        <w:autoSpaceDN w:val="0"/>
        <w:autoSpaceDE w:val="0"/>
        <w:widowControl/>
        <w:spacing w:line="233" w:lineRule="auto" w:before="248" w:after="156"/>
        <w:ind w:left="8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14 Explicitly Not Requested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960"/>
        <w:gridCol w:w="4960"/>
      </w:tblGrid>
      <w:tr>
        <w:trPr>
          <w:trHeight w:hRule="exact" w:val="442"/>
        </w:trPr>
        <w:tc>
          <w:tcPr>
            <w:tcW w:type="dxa" w:w="1998"/>
            <w:tcBorders>
              <w:top w:sz="12.0" w:val="single" w:color="#333333"/>
              <w:bottom w:sz="6.39999999999963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Not Asking</w:t>
            </w:r>
          </w:p>
        </w:tc>
        <w:tc>
          <w:tcPr>
            <w:tcW w:type="dxa" w:w="7888"/>
            <w:tcBorders>
              <w:top w:sz="12.0" w:val="single" w:color="#333333"/>
              <w:bottom w:sz="6.39999999999963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34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Why Not</w:t>
            </w:r>
          </w:p>
        </w:tc>
      </w:tr>
      <w:tr>
        <w:trPr>
          <w:trHeight w:hRule="exact" w:val="990"/>
        </w:trPr>
        <w:tc>
          <w:tcPr>
            <w:tcW w:type="dxa" w:w="1998"/>
            <w:tcBorders>
              <w:top w:sz="6.3999999999996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94" w:after="0"/>
              <w:ind w:left="86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Full 12-month budget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commitment now</w:t>
            </w:r>
          </w:p>
          <w:p>
            <w:pPr>
              <w:autoSpaceDN w:val="0"/>
              <w:autoSpaceDE w:val="0"/>
              <w:widowControl/>
              <w:spacing w:line="230" w:lineRule="auto" w:before="20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New senior hires</w:t>
            </w:r>
          </w:p>
        </w:tc>
        <w:tc>
          <w:tcPr>
            <w:tcW w:type="dxa" w:w="7888"/>
            <w:tcBorders>
              <w:top w:sz="6.3999999999996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94" w:after="0"/>
              <w:ind w:left="348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Phase 1 budget will be requested at the Phase 0 exit gate, when we have validated evidence. This is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deliberate — incremental commitment reduces institutional risk.</w:t>
            </w:r>
          </w:p>
          <w:p>
            <w:pPr>
              <w:autoSpaceDN w:val="0"/>
              <w:autoSpaceDE w:val="0"/>
              <w:widowControl/>
              <w:spacing w:line="230" w:lineRule="auto" w:before="206" w:after="0"/>
              <w:ind w:left="3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The core team is in place. The delivery plan is designed around existing capacity, augmented by</w:t>
            </w:r>
          </w:p>
        </w:tc>
      </w:tr>
    </w:tbl>
    <w:p>
      <w:pPr>
        <w:autoSpaceDN w:val="0"/>
        <w:autoSpaceDE w:val="0"/>
        <w:widowControl/>
        <w:spacing w:line="230" w:lineRule="auto" w:before="12" w:after="0"/>
        <w:ind w:left="235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Claude Code.</w:t>
      </w:r>
    </w:p>
    <w:p>
      <w:pPr>
        <w:autoSpaceDN w:val="0"/>
        <w:tabs>
          <w:tab w:pos="2354" w:val="left"/>
        </w:tabs>
        <w:autoSpaceDE w:val="0"/>
        <w:widowControl/>
        <w:spacing w:line="230" w:lineRule="auto" w:before="206" w:after="0"/>
        <w:ind w:left="9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New software licensing fees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The software stack is entirely open source. There is no recurring vendor fee for the core AI capability.</w:t>
      </w:r>
    </w:p>
    <w:p>
      <w:pPr>
        <w:autoSpaceDN w:val="0"/>
        <w:autoSpaceDE w:val="0"/>
        <w:widowControl/>
        <w:spacing w:line="230" w:lineRule="auto" w:before="56" w:after="130"/>
        <w:ind w:left="235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RM 0 licensing.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960"/>
        <w:gridCol w:w="4960"/>
      </w:tblGrid>
      <w:tr>
        <w:trPr>
          <w:trHeight w:hRule="exact" w:val="658"/>
        </w:trPr>
        <w:tc>
          <w:tcPr>
            <w:tcW w:type="dxa" w:w="223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Changes to existing research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systems</w:t>
            </w:r>
          </w:p>
        </w:tc>
        <w:tc>
          <w:tcPr>
            <w:tcW w:type="dxa" w:w="764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0" w:after="0"/>
              <w:ind w:left="108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UPSI's research databases, ethics approval systems, and publication repositories are not modified. The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AI layer reads from dedicated replicas.</w:t>
            </w:r>
          </w:p>
        </w:tc>
      </w:tr>
    </w:tbl>
    <w:p>
      <w:pPr>
        <w:autoSpaceDN w:val="0"/>
        <w:autoSpaceDE w:val="0"/>
        <w:widowControl/>
        <w:spacing w:line="1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9921"/>
      </w:tblGrid>
      <w:tr>
        <w:trPr>
          <w:trHeight w:hRule="exact" w:val="1128"/>
        </w:trPr>
        <w:tc>
          <w:tcPr>
            <w:tcW w:type="dxa" w:w="9870"/>
            <w:tcBorders>
              <w:start w:sz="12.019844055175781" w:val="single" w:color="#BF382A"/>
              <w:top w:sz="12.019844055175781" w:val="single" w:color="#BF382A"/>
              <w:end w:sz="12.019844055175781" w:val="single" w:color="#BF382A"/>
              <w:bottom w:sz="12.019844055175781" w:val="single" w:color="#BF382A"/>
            </w:tcBorders>
            <w:shd w:fill="fd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68" w:after="0"/>
              <w:ind w:left="132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9"/>
              </w:rPr>
              <w:t xml:space="preserve">DECISION REQUESTED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 xml:space="preserve">Approval to initiate Phase 0 of the Suluh Swarm programme, subject to the governance model described in Section 6 and the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exit criteria defined in Section 14.</w:t>
            </w:r>
          </w:p>
        </w:tc>
      </w:tr>
    </w:tbl>
    <w:p>
      <w:pPr>
        <w:autoSpaceDN w:val="0"/>
        <w:autoSpaceDE w:val="0"/>
        <w:widowControl/>
        <w:spacing w:line="233" w:lineRule="auto" w:before="554" w:after="0"/>
        <w:ind w:left="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18</w:t>
      </w:r>
    </w:p>
    <w:p>
      <w:pPr>
        <w:sectPr>
          <w:pgSz w:w="11899" w:h="16838"/>
          <w:pgMar w:top="238" w:right="964" w:bottom="228" w:left="10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Product Vision &amp; Design Principles</w:t>
      </w:r>
    </w:p>
    <w:p>
      <w:pPr>
        <w:autoSpaceDN w:val="0"/>
        <w:autoSpaceDE w:val="0"/>
        <w:widowControl/>
        <w:spacing w:line="230" w:lineRule="auto" w:before="54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36"/>
        </w:rPr>
        <w:t>Product Vision &amp; Design Principles</w:t>
      </w:r>
    </w:p>
    <w:p>
      <w:pPr>
        <w:autoSpaceDN w:val="0"/>
        <w:autoSpaceDE w:val="0"/>
        <w:widowControl/>
        <w:spacing w:line="230" w:lineRule="auto" w:before="504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Vision Statement</w:t>
      </w:r>
    </w:p>
    <w:p>
      <w:pPr>
        <w:autoSpaceDN w:val="0"/>
        <w:autoSpaceDE w:val="0"/>
        <w:widowControl/>
        <w:spacing w:line="230" w:lineRule="auto" w:before="24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Suluh Swarm will become Malaysia's sovereign multi-agent AI research platform: a secure, auditable, bilingual AI</w:t>
      </w:r>
    </w:p>
    <w:p>
      <w:pPr>
        <w:autoSpaceDN w:val="0"/>
        <w:autoSpaceDE w:val="0"/>
        <w:widowControl/>
        <w:spacing w:line="230" w:lineRule="auto" w:before="6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orchestration environment that enables researchers to compose collaborative agent teams, run reproducible</w:t>
      </w:r>
    </w:p>
    <w:p>
      <w:pPr>
        <w:autoSpaceDN w:val="0"/>
        <w:autoSpaceDE w:val="0"/>
        <w:widowControl/>
        <w:spacing w:line="233" w:lineRule="auto" w:before="6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experiments, and produce ethics-compliant research outputs — all within Malaysia's data sovereignty boundary and</w:t>
      </w:r>
    </w:p>
    <w:p>
      <w:pPr>
        <w:autoSpaceDN w:val="0"/>
        <w:autoSpaceDE w:val="0"/>
        <w:widowControl/>
        <w:spacing w:line="230" w:lineRule="auto" w:before="82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under UPSI's institutional governance.</w:t>
      </w:r>
    </w:p>
    <w:p>
      <w:pPr>
        <w:autoSpaceDN w:val="0"/>
        <w:autoSpaceDE w:val="0"/>
        <w:widowControl/>
        <w:spacing w:line="230" w:lineRule="auto" w:before="37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Seven Immutable Design Principles</w:t>
      </w:r>
    </w:p>
    <w:p>
      <w:pPr>
        <w:autoSpaceDN w:val="0"/>
        <w:autoSpaceDE w:val="0"/>
        <w:widowControl/>
        <w:spacing w:line="230" w:lineRule="auto" w:before="24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Every technical decision in this programme flows from these seven principles. They are not preferences — they are</w:t>
      </w:r>
    </w:p>
    <w:p>
      <w:pPr>
        <w:autoSpaceDN w:val="0"/>
        <w:autoSpaceDE w:val="0"/>
        <w:widowControl/>
        <w:spacing w:line="230" w:lineRule="auto" w:before="68" w:after="166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constraints. Any proposal that violates them requires a formal Technical Review Board design amendment.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05"/>
      </w:tblGrid>
      <w:tr>
        <w:trPr>
          <w:trHeight w:hRule="exact" w:val="378"/>
        </w:trPr>
        <w:tc>
          <w:tcPr>
            <w:tcW w:type="dxa" w:w="9886"/>
            <w:tcBorders/>
            <w:shd w:fill="f5fd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5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9"/>
              </w:rPr>
              <w:t>01 — Sovereign by default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97" w:type="dxa"/>
      </w:tblPr>
      <w:tblGrid>
        <w:gridCol w:w="9905"/>
      </w:tblGrid>
      <w:tr>
        <w:trPr>
          <w:trHeight w:hRule="exact" w:val="278"/>
        </w:trPr>
        <w:tc>
          <w:tcPr>
            <w:tcW w:type="dxa" w:w="9740"/>
            <w:tcBorders/>
            <w:shd w:fill="f5fd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All research data, agent state, model weights, and institutional documents remain within Malaysian jurisdiction and UPSI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05"/>
      </w:tblGrid>
      <w:tr>
        <w:trPr>
          <w:trHeight w:hRule="exact" w:val="500"/>
        </w:trPr>
        <w:tc>
          <w:tcPr>
            <w:tcW w:type="dxa" w:w="9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5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infrastructure. No raw research data or participant records traverse the public internet under any condition.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05"/>
      </w:tblGrid>
      <w:tr>
        <w:trPr>
          <w:trHeight w:hRule="exact" w:val="388"/>
        </w:trPr>
        <w:tc>
          <w:tcPr>
            <w:tcW w:type="dxa" w:w="9886"/>
            <w:tcBorders/>
            <w:shd w:fill="f5fd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15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9"/>
              </w:rPr>
              <w:t>02 — Read-only by design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97" w:type="dxa"/>
      </w:tblPr>
      <w:tblGrid>
        <w:gridCol w:w="9905"/>
      </w:tblGrid>
      <w:tr>
        <w:trPr>
          <w:trHeight w:hRule="exact" w:val="278"/>
        </w:trPr>
        <w:tc>
          <w:tcPr>
            <w:tcW w:type="dxa" w:w="9740"/>
            <w:tcBorders/>
            <w:shd w:fill="f5fd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AI agents can recommend, analyse, synthesise, and generate — but they cannot write to production research databases 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05"/>
      </w:tblGrid>
      <w:tr>
        <w:trPr>
          <w:trHeight w:hRule="exact" w:val="506"/>
        </w:trPr>
        <w:tc>
          <w:tcPr>
            <w:tcW w:type="dxa" w:w="9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5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modify source records. The only path to write capability is a formal design amendment with Steering Committee approval.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05"/>
      </w:tblGrid>
      <w:tr>
        <w:trPr>
          <w:trHeight w:hRule="exact" w:val="388"/>
        </w:trPr>
        <w:tc>
          <w:tcPr>
            <w:tcW w:type="dxa" w:w="9886"/>
            <w:tcBorders/>
            <w:shd w:fill="f5fd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15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9"/>
              </w:rPr>
              <w:t>03 — Hybrid retrieval, not pure RAG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97" w:type="dxa"/>
      </w:tblPr>
      <w:tblGrid>
        <w:gridCol w:w="9905"/>
      </w:tblGrid>
      <w:tr>
        <w:trPr>
          <w:trHeight w:hRule="exact" w:val="270"/>
        </w:trPr>
        <w:tc>
          <w:tcPr>
            <w:tcW w:type="dxa" w:w="9740"/>
            <w:tcBorders/>
            <w:shd w:fill="f5fd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Research systems require vector search for documents AND SQL generation for structured data AND deterministic controls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05"/>
      </w:tblGrid>
      <w:tr>
        <w:trPr>
          <w:trHeight w:hRule="exact" w:val="514"/>
        </w:trPr>
        <w:tc>
          <w:tcPr>
            <w:tcW w:type="dxa" w:w="9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5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for compliance. Pure semantic RAG will produce incorrect research outputs.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05"/>
      </w:tblGrid>
      <w:tr>
        <w:trPr>
          <w:trHeight w:hRule="exact" w:val="380"/>
        </w:trPr>
        <w:tc>
          <w:tcPr>
            <w:tcW w:type="dxa" w:w="9886"/>
            <w:tcBorders/>
            <w:shd w:fill="f5fd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15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9"/>
              </w:rPr>
              <w:t>04 — Document intelligence is mandatory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97" w:type="dxa"/>
      </w:tblPr>
      <w:tblGrid>
        <w:gridCol w:w="9905"/>
      </w:tblGrid>
      <w:tr>
        <w:trPr>
          <w:trHeight w:hRule="exact" w:val="278"/>
        </w:trPr>
        <w:tc>
          <w:tcPr>
            <w:tcW w:type="dxa" w:w="9740"/>
            <w:tcBorders/>
            <w:shd w:fill="f5fd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Document OCR, table extraction, figure extraction from research papers, grant proposals, and scanned documents are first-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05"/>
      </w:tblGrid>
      <w:tr>
        <w:trPr>
          <w:trHeight w:hRule="exact" w:val="514"/>
        </w:trPr>
        <w:tc>
          <w:tcPr>
            <w:tcW w:type="dxa" w:w="9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5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class requirements — not Phase 2 enhancements.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05"/>
      </w:tblGrid>
      <w:tr>
        <w:trPr>
          <w:trHeight w:hRule="exact" w:val="372"/>
        </w:trPr>
        <w:tc>
          <w:tcPr>
            <w:tcW w:type="dxa" w:w="9886"/>
            <w:tcBorders/>
            <w:shd w:fill="f5fd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15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9"/>
              </w:rPr>
              <w:t>05 — Auditability over novelty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97" w:type="dxa"/>
      </w:tblPr>
      <w:tblGrid>
        <w:gridCol w:w="9905"/>
      </w:tblGrid>
      <w:tr>
        <w:trPr>
          <w:trHeight w:hRule="exact" w:val="278"/>
        </w:trPr>
        <w:tc>
          <w:tcPr>
            <w:tcW w:type="dxa" w:w="9740"/>
            <w:tcBorders/>
            <w:shd w:fill="f5fd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Every agent action must be explainable, attributable to a source agent and model version, and logged to the immutable audit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05"/>
      </w:tblGrid>
      <w:tr>
        <w:trPr>
          <w:trHeight w:hRule="exact" w:val="508"/>
        </w:trPr>
        <w:tc>
          <w:tcPr>
            <w:tcW w:type="dxa" w:w="9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5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trail. IRB and reproducibility compliance is non-negotiable.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05"/>
      </w:tblGrid>
      <w:tr>
        <w:trPr>
          <w:trHeight w:hRule="exact" w:val="386"/>
        </w:trPr>
        <w:tc>
          <w:tcPr>
            <w:tcW w:type="dxa" w:w="9886"/>
            <w:tcBorders/>
            <w:shd w:fill="f5fd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15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9"/>
              </w:rPr>
              <w:t>06 — Evaluation-driven deployment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97" w:type="dxa"/>
      </w:tblPr>
      <w:tblGrid>
        <w:gridCol w:w="9905"/>
      </w:tblGrid>
      <w:tr>
        <w:trPr>
          <w:trHeight w:hRule="exact" w:val="278"/>
        </w:trPr>
        <w:tc>
          <w:tcPr>
            <w:tcW w:type="dxa" w:w="9740"/>
            <w:tcBorders/>
            <w:shd w:fill="f5fd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No model, retrieval configuration, prompt change, or agent workflow reaches production without passing the regression gate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05"/>
      </w:tblGrid>
      <w:tr>
        <w:trPr>
          <w:trHeight w:hRule="exact" w:val="508"/>
        </w:trPr>
        <w:tc>
          <w:tcPr>
            <w:tcW w:type="dxa" w:w="9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5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against the golden evaluation set.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05"/>
      </w:tblGrid>
      <w:tr>
        <w:trPr>
          <w:trHeight w:hRule="exact" w:val="386"/>
        </w:trPr>
        <w:tc>
          <w:tcPr>
            <w:tcW w:type="dxa" w:w="9886"/>
            <w:tcBorders/>
            <w:shd w:fill="f5fd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15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9"/>
              </w:rPr>
              <w:t>07 — Model-agnostic architecture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97" w:type="dxa"/>
      </w:tblPr>
      <w:tblGrid>
        <w:gridCol w:w="9905"/>
      </w:tblGrid>
      <w:tr>
        <w:trPr>
          <w:trHeight w:hRule="exact" w:val="270"/>
        </w:trPr>
        <w:tc>
          <w:tcPr>
            <w:tcW w:type="dxa" w:w="9740"/>
            <w:tcBorders/>
            <w:shd w:fill="f5fd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Switching the primary inference model requires updating one config value — not rewiring the orchestration or retrieval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97" w:type="dxa"/>
      </w:tblPr>
      <w:tblGrid>
        <w:gridCol w:w="9905"/>
      </w:tblGrid>
      <w:tr>
        <w:trPr>
          <w:trHeight w:hRule="exact" w:val="300"/>
        </w:trPr>
        <w:tc>
          <w:tcPr>
            <w:tcW w:type="dxa" w:w="6820"/>
            <w:tcBorders/>
            <w:shd w:fill="f5fd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layers. Swap paths are maintained for all models.</w:t>
            </w:r>
          </w:p>
        </w:tc>
      </w:tr>
    </w:tbl>
    <w:p>
      <w:pPr>
        <w:autoSpaceDN w:val="0"/>
        <w:autoSpaceDE w:val="0"/>
        <w:widowControl/>
        <w:spacing w:line="230" w:lineRule="auto" w:before="42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User Groups &amp; AI Use Cases</w:t>
      </w:r>
    </w:p>
    <w:p>
      <w:pPr>
        <w:autoSpaceDN w:val="0"/>
        <w:autoSpaceDE w:val="0"/>
        <w:widowControl/>
        <w:spacing w:line="233" w:lineRule="auto" w:before="304" w:after="14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15 User Groups, Use Cases, and Access Scope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458"/>
        </w:trPr>
        <w:tc>
          <w:tcPr>
            <w:tcW w:type="dxa" w:w="1818"/>
            <w:tcBorders>
              <w:top w:sz="12.0" w:val="single" w:color="#333333"/>
              <w:bottom w:sz="6.39999999999963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User Group</w:t>
            </w:r>
          </w:p>
        </w:tc>
        <w:tc>
          <w:tcPr>
            <w:tcW w:type="dxa" w:w="3940"/>
            <w:tcBorders>
              <w:top w:sz="12.0" w:val="single" w:color="#333333"/>
              <w:bottom w:sz="6.39999999999963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854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Primary AI Use Cases</w:t>
            </w:r>
          </w:p>
        </w:tc>
        <w:tc>
          <w:tcPr>
            <w:tcW w:type="dxa" w:w="4128"/>
            <w:tcBorders>
              <w:top w:sz="12.0" w:val="single" w:color="#333333"/>
              <w:bottom w:sz="6.39999999999963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1732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Access Scope</w:t>
            </w:r>
          </w:p>
        </w:tc>
      </w:tr>
    </w:tbl>
    <w:p>
      <w:pPr>
        <w:autoSpaceDN w:val="0"/>
        <w:autoSpaceDE w:val="0"/>
        <w:widowControl/>
        <w:spacing w:line="233" w:lineRule="auto" w:before="1082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19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512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Product Vision &amp; Design Principles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7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 officers /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Literature review automation, data cleaning pipelines,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Broadest operational access within approved</w:t>
            </w:r>
          </w:p>
        </w:tc>
      </w:tr>
      <w:tr>
        <w:trPr>
          <w:trHeight w:hRule="exact" w:val="34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RAs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experiment orchestration, report generation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7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project scope</w:t>
            </w:r>
          </w:p>
        </w:tc>
      </w:tr>
      <w:tr>
        <w:trPr>
          <w:trHeight w:hRule="exact" w:val="32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Postdoctoral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Multi-step analysis workflows, reproducibility documentation,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Full swarm composition access within their</w:t>
            </w:r>
          </w:p>
        </w:tc>
      </w:tr>
      <w:tr>
        <w:trPr>
          <w:trHeight w:hRule="exact" w:val="34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researchers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manuscript preparation, cross-lab collaboration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7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lab/PTJ</w:t>
            </w:r>
          </w:p>
        </w:tc>
      </w:tr>
      <w:tr>
        <w:trPr>
          <w:trHeight w:hRule="exact" w:val="32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Graduate students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Literature search, basic data analysis, citation management,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7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Restricted to non-restricted data; IRB gate</w:t>
            </w:r>
          </w:p>
        </w:tc>
      </w:tr>
      <w:tr>
        <w:trPr>
          <w:trHeight w:hRule="exact" w:val="342"/>
        </w:trPr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Lab directors / PIs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learning agent workflows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17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required for human-subject data</w:t>
            </w:r>
          </w:p>
        </w:tc>
      </w:tr>
      <w:tr>
        <w:trPr>
          <w:trHeight w:hRule="exact" w:val="318"/>
        </w:trPr>
        <w:tc>
          <w:tcPr>
            <w:tcW w:type="dxa" w:w="3302"/>
            <w:vMerge/>
            <w:tcBorders/>
          </w:tcPr>
          <w:p/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Resource monitoring, project oversight, grant reporting,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17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Full admin visibility within their lab; read-</w:t>
            </w:r>
          </w:p>
        </w:tc>
      </w:tr>
      <w:tr>
        <w:trPr>
          <w:trHeight w:hRule="exact" w:val="336"/>
        </w:trPr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IRB / ethics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compliance review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17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only across all lab projects</w:t>
            </w:r>
          </w:p>
        </w:tc>
      </w:tr>
      <w:tr>
        <w:trPr>
          <w:trHeight w:hRule="exact" w:val="324"/>
        </w:trPr>
        <w:tc>
          <w:tcPr>
            <w:tcW w:type="dxa" w:w="3302"/>
            <w:vMerge/>
            <w:tcBorders/>
          </w:tcPr>
          <w:p/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Ethics audit dashboard, agent decision review, compliance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7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Access to audit and compliance surfaces only</w:t>
            </w:r>
          </w:p>
        </w:tc>
      </w:tr>
      <w:tr>
        <w:trPr>
          <w:trHeight w:hRule="exact" w:val="33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officers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reporting, risk flag management</w:t>
            </w:r>
          </w:p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2" w:after="0"/>
              <w:ind w:left="17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Full technical administration</w:t>
            </w:r>
          </w:p>
        </w:tc>
      </w:tr>
      <w:tr>
        <w:trPr>
          <w:trHeight w:hRule="exact" w:val="33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ICT / AI admin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Cluster operations, agent registry management, routing</w:t>
            </w:r>
          </w:p>
        </w:tc>
        <w:tc>
          <w:tcPr>
            <w:tcW w:type="dxa" w:w="330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36" w:after="0"/>
        <w:ind w:left="160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configuration, indexing, monitoring</w:t>
      </w:r>
    </w:p>
    <w:p>
      <w:pPr>
        <w:autoSpaceDN w:val="0"/>
        <w:autoSpaceDE w:val="0"/>
        <w:widowControl/>
        <w:spacing w:line="233" w:lineRule="auto" w:before="11222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20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System Architecture</w:t>
      </w:r>
    </w:p>
    <w:p>
      <w:pPr>
        <w:autoSpaceDN w:val="0"/>
        <w:autoSpaceDE w:val="0"/>
        <w:widowControl/>
        <w:spacing w:line="230" w:lineRule="auto" w:before="54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36"/>
        </w:rPr>
        <w:t>System Architecture</w:t>
      </w:r>
    </w:p>
    <w:p>
      <w:pPr>
        <w:autoSpaceDN w:val="0"/>
        <w:autoSpaceDE w:val="0"/>
        <w:widowControl/>
        <w:spacing w:line="281" w:lineRule="auto" w:before="434" w:after="0"/>
        <w:ind w:left="0" w:right="26" w:firstLine="0"/>
        <w:jc w:val="both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 xml:space="preserve">The architecture is designed around one non-negotiable constraint: existing UPSI research systems must never be affected </w:t>
      </w:r>
      <w:r>
        <w:rPr>
          <w:rFonts w:ascii="Liberation Serif" w:hAnsi="Liberation Serif" w:eastAsia="Liberation Serif"/>
          <w:b w:val="0"/>
          <w:i/>
          <w:color w:val="555555"/>
          <w:sz w:val="20"/>
        </w:rPr>
        <w:t xml:space="preserve">by the AI layer. Every AI component is additive, isolated in its own tier, and degrades gracefully if unavailable. The </w:t>
      </w:r>
      <w:r>
        <w:rPr>
          <w:rFonts w:ascii="Liberation Serif" w:hAnsi="Liberation Serif" w:eastAsia="Liberation Serif"/>
          <w:b w:val="0"/>
          <w:i/>
          <w:color w:val="555555"/>
          <w:sz w:val="20"/>
        </w:rPr>
        <w:t>production research database is never touched — the AI reads from a dedicated replica.</w:t>
      </w:r>
    </w:p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Four-Tier Intranet-First Design</w:t>
      </w:r>
    </w:p>
    <w:p>
      <w:pPr>
        <w:autoSpaceDN w:val="0"/>
        <w:autoSpaceDE w:val="0"/>
        <w:widowControl/>
        <w:spacing w:line="286" w:lineRule="auto" w:before="242" w:after="0"/>
        <w:ind w:left="0" w:right="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The AI layer is structured as four tiers operating entirely within UPSI's intranet, with narrowly scoped edge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deployment capability for the DGX Spark nodes and an optional connection to Anthropic's cloud API for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anonymised quality routing only. Each tier has a clearly bounded responsibility, a defined API contract with adjacent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tiers, and can be upgraded or replaced without changes outside its boundary.</w:t>
      </w:r>
    </w:p>
    <w:p>
      <w:pPr>
        <w:autoSpaceDN w:val="0"/>
        <w:autoSpaceDE w:val="0"/>
        <w:widowControl/>
        <w:spacing w:line="240" w:lineRule="auto" w:before="21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34709" cy="4064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4709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auto" w:before="208" w:after="0"/>
        <w:ind w:left="0" w:right="0" w:firstLine="16"/>
        <w:jc w:val="left"/>
      </w:pPr>
      <w:r>
        <w:rPr>
          <w:rFonts w:ascii="Liberation Serif" w:hAnsi="Liberation Serif" w:eastAsia="Liberation Serif"/>
          <w:b/>
          <w:i w:val="0"/>
          <w:color w:val="666666"/>
          <w:sz w:val="17"/>
        </w:rPr>
        <w:t xml:space="preserve">Figure 1 </w:t>
      </w:r>
      <w:r>
        <w:rPr>
          <w:rFonts w:ascii="Liberation Serif" w:hAnsi="Liberation Serif" w:eastAsia="Liberation Serif"/>
          <w:b w:val="0"/>
          <w:i/>
          <w:color w:val="666666"/>
          <w:sz w:val="17"/>
        </w:rPr>
        <w:t xml:space="preserve">Four-tier intranet-first architecture for Suluh Swarm. Data flows downward through tiers; no tier directly accesses a non-adjacent tier. </w:t>
      </w:r>
      <w:r>
        <w:rPr>
          <w:rFonts w:ascii="Liberation Serif" w:hAnsi="Liberation Serif" w:eastAsia="Liberation Serif"/>
          <w:b w:val="0"/>
          <w:i/>
          <w:color w:val="666666"/>
          <w:sz w:val="17"/>
        </w:rPr>
        <w:t>The cloud quality layer is optional and handles anonymised queries only (&lt;5%).</w:t>
      </w:r>
    </w:p>
    <w:p>
      <w:pPr>
        <w:autoSpaceDN w:val="0"/>
        <w:autoSpaceDE w:val="0"/>
        <w:widowControl/>
        <w:spacing w:line="230" w:lineRule="auto" w:before="364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Tier Definitions</w:t>
      </w:r>
    </w:p>
    <w:p>
      <w:pPr>
        <w:autoSpaceDN w:val="0"/>
        <w:autoSpaceDE w:val="0"/>
        <w:widowControl/>
        <w:spacing w:line="230" w:lineRule="auto" w:before="324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C5364"/>
          <w:sz w:val="22"/>
        </w:rPr>
        <w:t>Tier 1 — User Layer</w:t>
      </w:r>
    </w:p>
    <w:p>
      <w:pPr>
        <w:autoSpaceDN w:val="0"/>
        <w:autoSpaceDE w:val="0"/>
        <w:widowControl/>
        <w:spacing w:line="290" w:lineRule="auto" w:before="156" w:after="0"/>
        <w:ind w:left="0" w:right="24" w:firstLine="0"/>
        <w:jc w:val="both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The User Layer is the presentation surface. Vue 3 AI Workbench is the primary interface — a single-page application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where researchers compose agent swarms, monitor jobs, review outputs, and interact with results. The Jupyter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Extension embeds Suluh Swarm capabilities directly into JupyterLab for in-notebook agent invocation. A CLI/SDK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enables power users and CI/CD integration. The Admin Console provides cluster operations, agent registry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management, and IRB audit dashboards for administrators. Each interface receives its JWT from the institutional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SSO session and communicates only with the FastAPI gateway, never directly with the data layer.</w:t>
      </w:r>
    </w:p>
    <w:p>
      <w:pPr>
        <w:autoSpaceDN w:val="0"/>
        <w:autoSpaceDE w:val="0"/>
        <w:widowControl/>
        <w:spacing w:line="233" w:lineRule="auto" w:before="998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21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System Architecture</w:t>
      </w:r>
    </w:p>
    <w:p>
      <w:pPr>
        <w:autoSpaceDN w:val="0"/>
        <w:autoSpaceDE w:val="0"/>
        <w:widowControl/>
        <w:spacing w:line="293" w:lineRule="auto" w:before="590" w:after="0"/>
        <w:ind w:left="0" w:right="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Intelligence lives here. The orchestration layer decomposes queries, routes them to the appropriate retrieval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mechanism (vector search, SQL generation, agent swarm, or a combination), enforces PDPA masking and IRB ethics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gating, calls the local LLM, and validates confidence before returning a response. The Swarm Coordinator is the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centrepiece: it matches tasks to registered agents, manages inter-agent communication, resolves conflicts, and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aggregates consensus outputs. If confidence is below 0.72 and the data classification permits, it escalates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anonymised queries to Anthropic Claude as a quality backstop.</w:t>
      </w:r>
    </w:p>
    <w:p>
      <w:pPr>
        <w:autoSpaceDN w:val="0"/>
        <w:autoSpaceDE w:val="0"/>
        <w:widowControl/>
        <w:spacing w:line="230" w:lineRule="auto" w:before="268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C5364"/>
          <w:sz w:val="22"/>
        </w:rPr>
        <w:t>Tier 4 — Data Layer</w:t>
      </w:r>
    </w:p>
    <w:p>
      <w:pPr>
        <w:autoSpaceDN w:val="0"/>
        <w:autoSpaceDE w:val="0"/>
        <w:widowControl/>
        <w:spacing w:line="288" w:lineRule="auto" w:before="156" w:after="0"/>
        <w:ind w:left="0" w:right="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Serves the orchestration layer exclusively. The production PostgreSQL database is never modified — the AI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connects via a dedicated read-only AI read replica receiving changes through logical replication. The pgvector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extension on this replica hosts the HNSW vector index for research document retrieval. MinIO / Internal NAS stores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raw documents and Docling-processed artefacts. Redis caches agent state and conversation history for low-latency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swarm coordination.</w:t>
      </w:r>
    </w:p>
    <w:p>
      <w:pPr>
        <w:autoSpaceDN w:val="0"/>
        <w:autoSpaceDE w:val="0"/>
        <w:widowControl/>
        <w:spacing w:line="230" w:lineRule="auto" w:before="38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Failure Modes &amp; Graceful Degradation</w:t>
      </w:r>
    </w:p>
    <w:p>
      <w:pPr>
        <w:autoSpaceDN w:val="0"/>
        <w:autoSpaceDE w:val="0"/>
        <w:widowControl/>
        <w:spacing w:line="274" w:lineRule="auto" w:before="226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The AI layer is additive. When any AI component fails, the operational research systems continue without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interruption.</w:t>
      </w:r>
    </w:p>
    <w:p>
      <w:pPr>
        <w:autoSpaceDN w:val="0"/>
        <w:autoSpaceDE w:val="0"/>
        <w:widowControl/>
        <w:spacing w:line="233" w:lineRule="auto" w:before="234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16 Graceful Degradation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456"/>
        </w:trPr>
        <w:tc>
          <w:tcPr>
            <w:tcW w:type="dxa" w:w="1638"/>
            <w:tcBorders>
              <w:top w:sz="12.0" w:val="single" w:color="#333333"/>
              <w:bottom w:sz="5.6000000000003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Failed Component</w:t>
            </w:r>
          </w:p>
        </w:tc>
        <w:tc>
          <w:tcPr>
            <w:tcW w:type="dxa" w:w="1820"/>
            <w:tcBorders>
              <w:top w:sz="12.0" w:val="single" w:color="#333333"/>
              <w:bottom w:sz="5.6000000000003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3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Degraded Mode</w:t>
            </w:r>
          </w:p>
        </w:tc>
        <w:tc>
          <w:tcPr>
            <w:tcW w:type="dxa" w:w="6428"/>
            <w:tcBorders>
              <w:top w:sz="12.0" w:val="single" w:color="#333333"/>
              <w:bottom w:sz="5.6000000000003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52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User Experience</w:t>
            </w:r>
          </w:p>
        </w:tc>
      </w:tr>
      <w:tr>
        <w:trPr>
          <w:trHeight w:hRule="exact" w:val="316"/>
        </w:trPr>
        <w:tc>
          <w:tcPr>
            <w:tcW w:type="dxa" w:w="1638"/>
            <w:tcBorders>
              <w:top w:sz="5.60000000000036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EXO cluster offline</w:t>
            </w:r>
          </w:p>
        </w:tc>
        <w:tc>
          <w:tcPr>
            <w:tcW w:type="dxa" w:w="1820"/>
            <w:tcBorders>
              <w:top w:sz="5.60000000000036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Anthropic fallback or</w:t>
            </w:r>
          </w:p>
        </w:tc>
        <w:tc>
          <w:tcPr>
            <w:tcW w:type="dxa" w:w="6428"/>
            <w:tcBorders>
              <w:top w:sz="5.60000000000036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5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Workbench: "AI service temporarily unavailable." Core research systems fully</w:t>
            </w:r>
          </w:p>
        </w:tc>
      </w:tr>
      <w:tr>
        <w:trPr>
          <w:trHeight w:hRule="exact" w:val="338"/>
        </w:trPr>
        <w:tc>
          <w:tcPr>
            <w:tcW w:type="dxa" w:w="16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pgvector AI replica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3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error</w:t>
            </w:r>
          </w:p>
        </w:tc>
        <w:tc>
          <w:tcPr>
            <w:tcW w:type="dxa" w:w="6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5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operational.</w:t>
            </w:r>
          </w:p>
        </w:tc>
      </w:tr>
      <w:tr>
        <w:trPr>
          <w:trHeight w:hRule="exact" w:val="330"/>
        </w:trPr>
        <w:tc>
          <w:tcPr>
            <w:tcW w:type="dxa" w:w="3302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3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SQL-only path</w:t>
            </w:r>
          </w:p>
        </w:tc>
        <w:tc>
          <w:tcPr>
            <w:tcW w:type="dxa" w:w="6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5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Document/policy queries disabled; structured research data queries continue</w:t>
            </w:r>
          </w:p>
        </w:tc>
      </w:tr>
    </w:tbl>
    <w:p>
      <w:pPr>
        <w:autoSpaceDN w:val="0"/>
        <w:autoSpaceDE w:val="0"/>
        <w:widowControl/>
        <w:spacing w:line="230" w:lineRule="auto" w:before="22" w:after="130"/>
        <w:ind w:left="0" w:right="549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unaffected.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34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Text-to-SQL engine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3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Vector-only path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1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Structured data queries return "unavailable"; document search continues.</w:t>
            </w:r>
          </w:p>
        </w:tc>
      </w:tr>
      <w:tr>
        <w:trPr>
          <w:trHeight w:hRule="exact" w:val="34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Agent Registry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Direct LLM queries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21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Swarm composition disabled; single-agent queries continue with reduced capability.</w:t>
            </w:r>
          </w:p>
        </w:tc>
      </w:tr>
    </w:tbl>
    <w:p>
      <w:pPr>
        <w:autoSpaceDN w:val="0"/>
        <w:autoSpaceDE w:val="0"/>
        <w:widowControl/>
        <w:spacing w:line="230" w:lineRule="auto" w:before="36" w:after="130"/>
        <w:ind w:left="177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9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IRB Ethics Gate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FAIL CLOSED</w:t>
            </w:r>
          </w:p>
        </w:tc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All human-subject workflows blocked pending IRB gate restoration. Non-human-</w:t>
            </w:r>
          </w:p>
        </w:tc>
      </w:tr>
    </w:tbl>
    <w:p>
      <w:pPr>
        <w:autoSpaceDN w:val="0"/>
        <w:autoSpaceDE w:val="0"/>
        <w:widowControl/>
        <w:spacing w:line="230" w:lineRule="auto" w:before="36" w:after="132"/>
        <w:ind w:left="0" w:right="4508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subject queries continue.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9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PDPA masking layer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9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FAIL CLOSED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Query blocked with audit log entry. No data passes unmasked under any failure</w:t>
            </w:r>
          </w:p>
        </w:tc>
      </w:tr>
    </w:tbl>
    <w:p>
      <w:pPr>
        <w:autoSpaceDN w:val="0"/>
        <w:autoSpaceDE w:val="0"/>
        <w:widowControl/>
        <w:spacing w:line="230" w:lineRule="auto" w:before="36" w:after="130"/>
        <w:ind w:left="0" w:right="585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mode.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272"/>
        </w:trPr>
        <w:tc>
          <w:tcPr>
            <w:tcW w:type="dxa" w:w="1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LangFuse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Fail-open; traces</w:t>
            </w:r>
          </w:p>
        </w:tc>
        <w:tc>
          <w:tcPr>
            <w:tcW w:type="dxa" w:w="6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System operates normally; Admin Console alerts team to observability gap.</w:t>
            </w:r>
          </w:p>
        </w:tc>
      </w:tr>
      <w:tr>
        <w:trPr>
          <w:trHeight w:hRule="exact" w:val="348"/>
        </w:trPr>
        <w:tc>
          <w:tcPr>
            <w:tcW w:type="dxa" w:w="1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observability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31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discarded</w:t>
            </w:r>
          </w:p>
        </w:tc>
        <w:tc>
          <w:tcPr>
            <w:tcW w:type="dxa" w:w="65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50" w:after="0"/>
              <w:ind w:left="2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Quality escalation unavailable; local model responses shown with adjusted</w:t>
            </w:r>
          </w:p>
        </w:tc>
      </w:tr>
      <w:tr>
        <w:trPr>
          <w:trHeight w:hRule="exact" w:val="312"/>
        </w:trPr>
        <w:tc>
          <w:tcPr>
            <w:tcW w:type="dxa" w:w="1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Anthropic API</w:t>
            </w:r>
          </w:p>
        </w:tc>
        <w:tc>
          <w:tcPr>
            <w:tcW w:type="dxa" w:w="1860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Local model only</w:t>
            </w:r>
          </w:p>
        </w:tc>
        <w:tc>
          <w:tcPr>
            <w:tcW w:type="dxa" w:w="3302"/>
            <w:vMerge/>
            <w:tcBorders/>
          </w:tcPr>
          <w:p/>
        </w:tc>
      </w:tr>
      <w:tr>
        <w:trPr>
          <w:trHeight w:hRule="exact" w:val="370"/>
        </w:trPr>
        <w:tc>
          <w:tcPr>
            <w:tcW w:type="dxa" w:w="145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(cloud)</w:t>
            </w:r>
          </w:p>
        </w:tc>
        <w:tc>
          <w:tcPr>
            <w:tcW w:type="dxa" w:w="3302"/>
            <w:vMerge/>
            <w:tcBorders>
              <w:bottom w:sz="12.0" w:val="single" w:color="#333333"/>
            </w:tcBorders>
          </w:tcPr>
          <w:p/>
        </w:tc>
        <w:tc>
          <w:tcPr>
            <w:tcW w:type="dxa" w:w="656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29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confidence indicator.</w:t>
            </w:r>
          </w:p>
        </w:tc>
      </w:tr>
    </w:tbl>
    <w:p>
      <w:pPr>
        <w:autoSpaceDN w:val="0"/>
        <w:autoSpaceDE w:val="0"/>
        <w:widowControl/>
        <w:spacing w:line="233" w:lineRule="auto" w:before="355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22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Query Routing &amp; AI Intelligence</w:t>
      </w:r>
    </w:p>
    <w:p>
      <w:pPr>
        <w:autoSpaceDN w:val="0"/>
        <w:autoSpaceDE w:val="0"/>
        <w:widowControl/>
        <w:spacing w:line="230" w:lineRule="auto" w:before="54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36"/>
        </w:rPr>
        <w:t>Query Routing &amp; AI Intelligence</w:t>
      </w:r>
    </w:p>
    <w:p>
      <w:pPr>
        <w:autoSpaceDN w:val="0"/>
        <w:autoSpaceDE w:val="0"/>
        <w:widowControl/>
        <w:spacing w:line="286" w:lineRule="auto" w:before="434" w:after="0"/>
        <w:ind w:left="0" w:right="26" w:firstLine="0"/>
        <w:jc w:val="both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 xml:space="preserve">Not every query needs the largest model or a full swarm. The routing engine matches query complexity and data sensitivity </w:t>
      </w:r>
      <w:r>
        <w:rPr>
          <w:rFonts w:ascii="Liberation Serif" w:hAnsi="Liberation Serif" w:eastAsia="Liberation Serif"/>
          <w:b w:val="0"/>
          <w:i/>
          <w:color w:val="555555"/>
          <w:sz w:val="20"/>
        </w:rPr>
        <w:t xml:space="preserve">to the right AI resource — keeping costs low, latency fast, and sensitive data local. ~55% of queries are resolved by the </w:t>
      </w:r>
      <w:r>
        <w:rPr>
          <w:rFonts w:ascii="Liberation Serif" w:hAnsi="Liberation Serif" w:eastAsia="Liberation Serif"/>
          <w:b w:val="0"/>
          <w:i/>
          <w:color w:val="555555"/>
          <w:sz w:val="20"/>
        </w:rPr>
        <w:t>fast-lane model in under a second. Fewer than 5% will ever touch the cloud — and only with anonymised content on non-</w:t>
      </w:r>
      <w:r>
        <w:rPr>
          <w:rFonts w:ascii="Liberation Serif" w:hAnsi="Liberation Serif" w:eastAsia="Liberation Serif"/>
          <w:b w:val="0"/>
          <w:i/>
          <w:color w:val="555555"/>
          <w:sz w:val="20"/>
        </w:rPr>
        <w:t>human-subject research.</w:t>
      </w:r>
    </w:p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Routing Decision Tree</w:t>
      </w:r>
    </w:p>
    <w:p>
      <w:pPr>
        <w:autoSpaceDN w:val="0"/>
        <w:autoSpaceDE w:val="0"/>
        <w:widowControl/>
        <w:spacing w:line="240" w:lineRule="auto" w:before="27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38140" cy="40551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4055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" w:val="left"/>
        </w:tabs>
        <w:autoSpaceDE w:val="0"/>
        <w:widowControl/>
        <w:spacing w:line="271" w:lineRule="auto" w:before="210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666666"/>
          <w:sz w:val="17"/>
        </w:rPr>
        <w:t xml:space="preserve">Figure 2 </w:t>
      </w:r>
      <w:r>
        <w:rPr>
          <w:rFonts w:ascii="Liberation Serif" w:hAnsi="Liberation Serif" w:eastAsia="Liberation Serif"/>
          <w:b w:val="0"/>
          <w:i/>
          <w:color w:val="666666"/>
          <w:sz w:val="17"/>
        </w:rPr>
        <w:t xml:space="preserve">Query routing decision tree. The PDPA/IRB classification check is the first gate — RESTRICTED queries and human-subject research </w:t>
      </w:r>
      <w:r>
        <w:rPr>
          <w:rFonts w:ascii="Liberation Serif" w:hAnsi="Liberation Serif" w:eastAsia="Liberation Serif"/>
          <w:b w:val="0"/>
          <w:i/>
          <w:color w:val="666666"/>
          <w:sz w:val="17"/>
        </w:rPr>
        <w:t>data never leave the intranet regardless of any other condition. This constraint is enforced in code, not configuration.</w:t>
      </w:r>
    </w:p>
    <w:p>
      <w:pPr>
        <w:autoSpaceDN w:val="0"/>
        <w:autoSpaceDE w:val="0"/>
        <w:widowControl/>
        <w:spacing w:line="233" w:lineRule="auto" w:before="348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Routing Logic</w:t>
      </w:r>
    </w:p>
    <w:p>
      <w:pPr>
        <w:autoSpaceDN w:val="0"/>
        <w:autoSpaceDE w:val="0"/>
        <w:widowControl/>
        <w:spacing w:line="264" w:lineRule="auto" w:before="24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Every incoming query is assessed on three dimensions before model assignment: data classification, research ethics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classification (IRB), and query complexity. The decision is deterministic and logged to the audit trail.</w:t>
      </w:r>
    </w:p>
    <w:p>
      <w:pPr>
        <w:autoSpaceDN w:val="0"/>
        <w:autoSpaceDE w:val="0"/>
        <w:widowControl/>
        <w:spacing w:line="233" w:lineRule="auto" w:before="250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17 Routing Routes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442"/>
        </w:trPr>
        <w:tc>
          <w:tcPr>
            <w:tcW w:type="dxa" w:w="1238"/>
            <w:tcBorders>
              <w:top w:sz="12.0" w:val="single" w:color="#333333"/>
              <w:bottom w:sz="6.39999999999963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Route</w:t>
            </w:r>
          </w:p>
        </w:tc>
        <w:tc>
          <w:tcPr>
            <w:tcW w:type="dxa" w:w="5880"/>
            <w:tcBorders>
              <w:top w:sz="12.0" w:val="single" w:color="#333333"/>
              <w:bottom w:sz="6.39999999999963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9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Trigger Condition</w:t>
            </w:r>
          </w:p>
        </w:tc>
        <w:tc>
          <w:tcPr>
            <w:tcW w:type="dxa" w:w="2768"/>
            <w:tcBorders>
              <w:top w:sz="12.0" w:val="single" w:color="#333333"/>
              <w:bottom w:sz="6.39999999999963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Model Assigned</w:t>
            </w:r>
          </w:p>
        </w:tc>
      </w:tr>
      <w:tr>
        <w:trPr>
          <w:trHeight w:hRule="exact" w:val="330"/>
        </w:trPr>
        <w:tc>
          <w:tcPr>
            <w:tcW w:type="dxa" w:w="1238"/>
            <w:tcBorders>
              <w:top w:sz="6.3999999999996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FAST LANE</w:t>
            </w:r>
          </w:p>
        </w:tc>
        <w:tc>
          <w:tcPr>
            <w:tcW w:type="dxa" w:w="5880"/>
            <w:tcBorders>
              <w:top w:sz="6.3999999999996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Simple queries: single-document retrieval, brief policy questions, basic</w:t>
            </w:r>
          </w:p>
        </w:tc>
        <w:tc>
          <w:tcPr>
            <w:tcW w:type="dxa" w:w="2768"/>
            <w:tcBorders>
              <w:top w:sz="6.3999999999996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Qwen3.6-35B-A3B · ~55% of</w:t>
            </w:r>
          </w:p>
        </w:tc>
      </w:tr>
      <w:tr>
        <w:trPr>
          <w:trHeight w:hRule="exact" w:val="330"/>
        </w:trPr>
        <w:tc>
          <w:tcPr>
            <w:tcW w:type="dxa" w:w="12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PRIMARY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definitions. Classifier assigns LOW complexity. No IRB flag.</w:t>
            </w:r>
          </w:p>
        </w:tc>
        <w:tc>
          <w:tcPr>
            <w:tcW w:type="dxa" w:w="2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queries</w:t>
            </w:r>
          </w:p>
        </w:tc>
      </w:tr>
      <w:tr>
        <w:trPr>
          <w:trHeight w:hRule="exact" w:val="330"/>
        </w:trPr>
        <w:tc>
          <w:tcPr>
            <w:tcW w:type="dxa" w:w="3302"/>
            <w:vMerge/>
            <w:tcBorders/>
          </w:tcPr>
          <w:p/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Complex research reasoning: multi-document synthesis, cross-referencing</w:t>
            </w:r>
          </w:p>
        </w:tc>
        <w:tc>
          <w:tcPr>
            <w:tcW w:type="dxa" w:w="2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Qwen3.6-35B-A3B (extended</w:t>
            </w:r>
          </w:p>
        </w:tc>
      </w:tr>
      <w:tr>
        <w:trPr>
          <w:trHeight w:hRule="exact" w:val="330"/>
        </w:trPr>
        <w:tc>
          <w:tcPr>
            <w:tcW w:type="dxa" w:w="12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SWARM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data tables, statistical interpretation. Confidence ≥ 0.72. No IRB flag.</w:t>
            </w:r>
          </w:p>
        </w:tc>
        <w:tc>
          <w:tcPr>
            <w:tcW w:type="dxa" w:w="2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context mode) · ~30% of queries</w:t>
            </w:r>
          </w:p>
        </w:tc>
      </w:tr>
      <w:tr>
        <w:trPr>
          <w:trHeight w:hRule="exact" w:val="330"/>
        </w:trPr>
        <w:tc>
          <w:tcPr>
            <w:tcW w:type="dxa" w:w="3302"/>
            <w:vMerge/>
            <w:tcBorders/>
          </w:tcPr>
          <w:p/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Multi-agent workflows: literature review, experiment automation, complex</w:t>
            </w:r>
          </w:p>
        </w:tc>
        <w:tc>
          <w:tcPr>
            <w:tcW w:type="dxa" w:w="2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Nemotron-3 Super (tool-calling) +</w:t>
            </w:r>
          </w:p>
        </w:tc>
      </w:tr>
      <w:tr>
        <w:trPr>
          <w:trHeight w:hRule="exact" w:val="290"/>
        </w:trPr>
        <w:tc>
          <w:tcPr>
            <w:tcW w:type="dxa" w:w="3302"/>
            <w:vMerge/>
            <w:tcBorders/>
          </w:tcPr>
          <w:p/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9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analysis with tool calling. LangGraph chain triggered. IRB pre-screen passed.</w:t>
            </w:r>
          </w:p>
        </w:tc>
        <w:tc>
          <w:tcPr>
            <w:tcW w:type="dxa" w:w="2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Agent Mesh · ~10% of queries</w:t>
            </w:r>
          </w:p>
        </w:tc>
      </w:tr>
    </w:tbl>
    <w:p>
      <w:pPr>
        <w:autoSpaceDN w:val="0"/>
        <w:autoSpaceDE w:val="0"/>
        <w:widowControl/>
        <w:spacing w:line="233" w:lineRule="auto" w:before="72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23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484"/>
        <w:ind w:left="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Query Routing &amp; AI Intelligence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9921"/>
      </w:tblGrid>
      <w:tr>
        <w:trPr>
          <w:trHeight w:hRule="exact" w:val="976"/>
        </w:trPr>
        <w:tc>
          <w:tcPr>
            <w:tcW w:type="dxa" w:w="9870"/>
            <w:tcBorders>
              <w:start w:sz="12.019844055175781" w:val="single" w:color="#BF382A"/>
              <w:top w:sz="12.019844055175781" w:val="single" w:color="#BF382A"/>
              <w:end w:sz="12.019844055175781" w:val="single" w:color="#BF382A"/>
              <w:bottom w:sz="12.019844055175781" w:val="single" w:color="#BF382A"/>
            </w:tcBorders>
            <w:shd w:fill="fd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6" w:after="0"/>
              <w:ind w:left="132" w:right="138" w:firstLine="0"/>
              <w:jc w:val="both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 xml:space="preserve">screening, are NEVER escalated to the Anthropic API, regardless of confidence score, routing configuration, or operator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 xml:space="preserve">setting. This constraint is enforced in application code with a dedicated pre-routing check. It cannot be overridden via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configuration files, environment variables, or runtime admin settings.</w:t>
            </w:r>
          </w:p>
        </w:tc>
      </w:tr>
    </w:tbl>
    <w:p>
      <w:pPr>
        <w:autoSpaceDN w:val="0"/>
        <w:autoSpaceDE w:val="0"/>
        <w:widowControl/>
        <w:spacing w:line="233" w:lineRule="auto" w:before="14062" w:after="0"/>
        <w:ind w:left="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24</w:t>
      </w:r>
    </w:p>
    <w:p>
      <w:pPr>
        <w:sectPr>
          <w:pgSz w:w="11899" w:h="16838"/>
          <w:pgMar w:top="238" w:right="964" w:bottom="228" w:left="10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Hardware &amp; Model Strategy</w:t>
      </w:r>
    </w:p>
    <w:p>
      <w:pPr>
        <w:autoSpaceDN w:val="0"/>
        <w:autoSpaceDE w:val="0"/>
        <w:widowControl/>
        <w:spacing w:line="230" w:lineRule="auto" w:before="54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36"/>
        </w:rPr>
        <w:t>Hardware &amp; Model Strategy</w:t>
      </w:r>
    </w:p>
    <w:p>
      <w:pPr>
        <w:autoSpaceDN w:val="0"/>
        <w:autoSpaceDE w:val="0"/>
        <w:widowControl/>
        <w:spacing w:line="288" w:lineRule="auto" w:before="434" w:after="0"/>
        <w:ind w:left="0" w:right="26" w:firstLine="0"/>
        <w:jc w:val="both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The cluster pools 5 nodes — 3× NVIDIA DGX Spark Founders Edition (GB10, 128 GB each, edge-deployed) and 2×</w:t>
      </w:r>
      <w:r>
        <w:rPr>
          <w:rFonts w:ascii="Liberation Serif" w:hAnsi="Liberation Serif" w:eastAsia="Liberation Serif"/>
          <w:b w:val="0"/>
          <w:i/>
          <w:color w:val="555555"/>
          <w:sz w:val="20"/>
        </w:rPr>
        <w:t xml:space="preserve">Apple Mac Studio M3 Ultra (256 GB each, core cluster) — for a total of 1,280 GB. This distributed design enables both </w:t>
      </w:r>
      <w:r>
        <w:rPr>
          <w:rFonts w:ascii="Liberation Serif" w:hAnsi="Liberation Serif" w:eastAsia="Liberation Serif"/>
          <w:b w:val="0"/>
          <w:i/>
          <w:color w:val="555555"/>
          <w:sz w:val="20"/>
        </w:rPr>
        <w:t xml:space="preserve">centralised high-capacity inference and edge deployment for latency-sensitive or data-locality-sensitive workloads. The </w:t>
      </w:r>
      <w:r>
        <w:rPr>
          <w:rFonts w:ascii="Liberation Serif" w:hAnsi="Liberation Serif" w:eastAsia="Liberation Serif"/>
          <w:b w:val="0"/>
          <w:i/>
          <w:color w:val="555555"/>
          <w:sz w:val="20"/>
        </w:rPr>
        <w:t xml:space="preserve">third DGX Spark enables simultaneous multi-model serving, LoRA domain fine-tuning, and dedicated infrastructure for </w:t>
      </w:r>
      <w:r>
        <w:rPr>
          <w:rFonts w:ascii="Liberation Serif" w:hAnsi="Liberation Serif" w:eastAsia="Liberation Serif"/>
          <w:b w:val="0"/>
          <w:i/>
          <w:color w:val="555555"/>
          <w:sz w:val="20"/>
        </w:rPr>
        <w:t>LangFuse + pgvector — with no memory contention.</w:t>
      </w:r>
    </w:p>
    <w:p>
      <w:pPr>
        <w:autoSpaceDN w:val="0"/>
        <w:autoSpaceDE w:val="0"/>
        <w:widowControl/>
        <w:spacing w:line="230" w:lineRule="auto" w:before="374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Distributed EXO Inference Cluster — 5 Nodes · 1,280 GB Pooled</w:t>
      </w:r>
    </w:p>
    <w:p>
      <w:pPr>
        <w:autoSpaceDN w:val="0"/>
        <w:autoSpaceDE w:val="0"/>
        <w:widowControl/>
        <w:spacing w:line="286" w:lineRule="auto" w:before="226" w:after="0"/>
        <w:ind w:left="0" w:right="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The inference cluster pools five heterogeneous nodes using EXO (exolabs open-source disaggregated inference),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exposing a single OpenAI-compatible API endpoint on the UPSI intranet. EXO handles the complexity of splitting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model layers across nodes — the orchestration layer sees one endpoint and one model identifier. ConnectX-7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200GbE provides high-bandwidth inter-node fabric for prefill-to-decode handoff.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62650" cy="34442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44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00" w:val="left"/>
          <w:tab w:pos="316" w:val="left"/>
        </w:tabs>
        <w:autoSpaceDE w:val="0"/>
        <w:widowControl/>
        <w:spacing w:line="278" w:lineRule="auto" w:before="208" w:after="0"/>
        <w:ind w:left="0" w:right="144" w:firstLine="0"/>
        <w:jc w:val="left"/>
      </w:pPr>
      <w:r>
        <w:tab/>
      </w:r>
      <w:r>
        <w:tab/>
      </w:r>
      <w:r>
        <w:rPr>
          <w:rFonts w:ascii="Liberation Serif" w:hAnsi="Liberation Serif" w:eastAsia="Liberation Serif"/>
          <w:b/>
          <w:i w:val="0"/>
          <w:color w:val="666666"/>
          <w:sz w:val="17"/>
        </w:rPr>
        <w:t xml:space="preserve">Figure 3 </w:t>
      </w:r>
      <w:r>
        <w:rPr>
          <w:rFonts w:ascii="Liberation Serif" w:hAnsi="Liberation Serif" w:eastAsia="Liberation Serif"/>
          <w:b w:val="0"/>
          <w:i/>
          <w:color w:val="666666"/>
          <w:sz w:val="17"/>
        </w:rPr>
        <w:t xml:space="preserve">Suluh Swarm distributed inference cluster — 5 nodes, 1,280 GB pooled. DGX Sparks (CUDA/NVFP4) handle prefill and edge </w:t>
      </w:r>
      <w:r>
        <w:tab/>
      </w:r>
      <w:r>
        <w:rPr>
          <w:rFonts w:ascii="Liberation Serif" w:hAnsi="Liberation Serif" w:eastAsia="Liberation Serif"/>
          <w:b w:val="0"/>
          <w:i/>
          <w:color w:val="666666"/>
          <w:sz w:val="17"/>
        </w:rPr>
        <w:t xml:space="preserve">deployment; Mac Studios (MLX/Metal) handle decode and core inference. DGX Spark C serves as overflow, fine-tuning, and infrastructure </w:t>
      </w:r>
      <w:r>
        <w:rPr>
          <w:rFonts w:ascii="Liberation Serif" w:hAnsi="Liberation Serif" w:eastAsia="Liberation Serif"/>
          <w:b w:val="0"/>
          <w:i/>
          <w:color w:val="666666"/>
          <w:sz w:val="17"/>
        </w:rPr>
        <w:t>node.</w:t>
      </w:r>
    </w:p>
    <w:p>
      <w:pPr>
        <w:autoSpaceDN w:val="0"/>
        <w:autoSpaceDE w:val="0"/>
        <w:widowControl/>
        <w:spacing w:line="230" w:lineRule="auto" w:before="230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18 Cluster Node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1"/>
        <w:gridCol w:w="1981"/>
        <w:gridCol w:w="1981"/>
        <w:gridCol w:w="1981"/>
        <w:gridCol w:w="1981"/>
      </w:tblGrid>
      <w:tr>
        <w:trPr>
          <w:trHeight w:hRule="exact" w:val="444"/>
        </w:trPr>
        <w:tc>
          <w:tcPr>
            <w:tcW w:type="dxa" w:w="1058"/>
            <w:tcBorders>
              <w:top w:sz="12.0" w:val="single" w:color="#333333"/>
              <w:bottom w:sz="5.59999999999945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Node</w:t>
            </w:r>
          </w:p>
        </w:tc>
        <w:tc>
          <w:tcPr>
            <w:tcW w:type="dxa" w:w="2500"/>
            <w:tcBorders>
              <w:top w:sz="12.0" w:val="single" w:color="#333333"/>
              <w:bottom w:sz="5.59999999999945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5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Hardware</w:t>
            </w:r>
          </w:p>
        </w:tc>
        <w:tc>
          <w:tcPr>
            <w:tcW w:type="dxa" w:w="1340"/>
            <w:tcBorders>
              <w:top w:sz="12.0" w:val="single" w:color="#333333"/>
              <w:bottom w:sz="5.59999999999945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3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Memory</w:t>
            </w:r>
          </w:p>
        </w:tc>
        <w:tc>
          <w:tcPr>
            <w:tcW w:type="dxa" w:w="3860"/>
            <w:tcBorders>
              <w:top w:sz="12.0" w:val="single" w:color="#333333"/>
              <w:bottom w:sz="5.59999999999945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Primary Role</w:t>
            </w:r>
          </w:p>
        </w:tc>
        <w:tc>
          <w:tcPr>
            <w:tcW w:type="dxa" w:w="1128"/>
            <w:tcBorders>
              <w:top w:sz="12.0" w:val="single" w:color="#333333"/>
              <w:bottom w:sz="5.59999999999945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26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Count</w:t>
            </w:r>
          </w:p>
        </w:tc>
      </w:tr>
      <w:tr>
        <w:trPr>
          <w:trHeight w:hRule="exact" w:val="320"/>
        </w:trPr>
        <w:tc>
          <w:tcPr>
            <w:tcW w:type="dxa" w:w="1058"/>
            <w:tcBorders>
              <w:top w:sz="5.59999999999945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DGX Spark</w:t>
            </w:r>
          </w:p>
        </w:tc>
        <w:tc>
          <w:tcPr>
            <w:tcW w:type="dxa" w:w="2500"/>
            <w:tcBorders>
              <w:top w:sz="5.59999999999945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NVIDIA DGX Spark Founders</w:t>
            </w:r>
          </w:p>
        </w:tc>
        <w:tc>
          <w:tcPr>
            <w:tcW w:type="dxa" w:w="1340"/>
            <w:tcBorders>
              <w:top w:sz="5.59999999999945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3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128 GB</w:t>
            </w:r>
          </w:p>
        </w:tc>
        <w:tc>
          <w:tcPr>
            <w:tcW w:type="dxa" w:w="3860"/>
            <w:tcBorders>
              <w:top w:sz="5.59999999999945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Prefill — prompt processing (CUDA / NVFP4)</w:t>
            </w:r>
          </w:p>
        </w:tc>
        <w:tc>
          <w:tcPr>
            <w:tcW w:type="dxa" w:w="1128"/>
            <w:tcBorders>
              <w:top w:sz="5.59999999999945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26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2×</w:t>
            </w:r>
          </w:p>
        </w:tc>
      </w:tr>
      <w:tr>
        <w:trPr>
          <w:trHeight w:hRule="exact" w:val="340"/>
        </w:trPr>
        <w:tc>
          <w:tcPr>
            <w:tcW w:type="dxa" w:w="1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 &amp; B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5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Edition (GB10)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3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LPDDR5X</w:t>
            </w:r>
          </w:p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2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Overflow, fine-tuning, LangFuse + pgvector ops</w:t>
            </w:r>
          </w:p>
        </w:tc>
        <w:tc>
          <w:tcPr>
            <w:tcW w:type="dxa" w:w="11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2" w:after="0"/>
              <w:ind w:left="26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1×</w:t>
            </w:r>
          </w:p>
        </w:tc>
      </w:tr>
      <w:tr>
        <w:trPr>
          <w:trHeight w:hRule="exact" w:val="320"/>
        </w:trPr>
        <w:tc>
          <w:tcPr>
            <w:tcW w:type="dxa" w:w="1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DGX Spark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NVIDIA DGX Spark Founders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13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128 GB</w:t>
            </w:r>
          </w:p>
        </w:tc>
        <w:tc>
          <w:tcPr>
            <w:tcW w:type="dxa" w:w="1981"/>
            <w:vMerge/>
            <w:tcBorders/>
          </w:tcPr>
          <w:p/>
        </w:tc>
        <w:tc>
          <w:tcPr>
            <w:tcW w:type="dxa" w:w="198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5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Edition (GB10)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3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LPDDR5X</w:t>
            </w:r>
          </w:p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4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Decode — token generation (MLX / Metal)</w:t>
            </w:r>
          </w:p>
        </w:tc>
        <w:tc>
          <w:tcPr>
            <w:tcW w:type="dxa" w:w="11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4" w:after="0"/>
              <w:ind w:left="26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2×</w:t>
            </w:r>
          </w:p>
        </w:tc>
      </w:tr>
      <w:tr>
        <w:trPr>
          <w:trHeight w:hRule="exact" w:val="320"/>
        </w:trPr>
        <w:tc>
          <w:tcPr>
            <w:tcW w:type="dxa" w:w="1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Mac Studio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Apple Mac Studio M3 Ultra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256 GB unified</w:t>
            </w:r>
          </w:p>
        </w:tc>
        <w:tc>
          <w:tcPr>
            <w:tcW w:type="dxa" w:w="1981"/>
            <w:vMerge/>
            <w:tcBorders/>
          </w:tcPr>
          <w:p/>
        </w:tc>
        <w:tc>
          <w:tcPr>
            <w:tcW w:type="dxa" w:w="1981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 &amp; B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5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(28c CPU, 60c GPU)</w:t>
            </w:r>
          </w:p>
        </w:tc>
        <w:tc>
          <w:tcPr>
            <w:tcW w:type="dxa" w:w="1981"/>
            <w:vMerge/>
            <w:tcBorders/>
          </w:tcPr>
          <w:p/>
        </w:tc>
        <w:tc>
          <w:tcPr>
            <w:tcW w:type="dxa" w:w="1981"/>
            <w:vMerge/>
            <w:tcBorders/>
          </w:tcPr>
          <w:p/>
        </w:tc>
        <w:tc>
          <w:tcPr>
            <w:tcW w:type="dxa" w:w="19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92"/>
        <w:ind w:left="0" w:right="0"/>
      </w:pP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86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18"/>
        </w:rPr>
        <w:t>Total pooled memory: 1,280 GB</w:t>
      </w:r>
    </w:p>
    <w:p>
      <w:pPr>
        <w:sectPr>
          <w:type w:val="continuous"/>
          <w:pgSz w:w="11899" w:h="16838"/>
          <w:pgMar w:top="238" w:right="972" w:bottom="228" w:left="1022" w:header="720" w:footer="720" w:gutter="0"/>
          <w:cols w:num="2" w:equalWidth="0">
            <w:col w:w="3770" w:space="0"/>
            <w:col w:w="6135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110"/>
        <w:ind w:left="123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Mac Studio (decode): 512 GB · DGX Spark (prefill): 384 GB ·</w:t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Headroom after primary models: ~850 GB</w:t>
      </w:r>
    </w:p>
    <w:p>
      <w:pPr>
        <w:sectPr>
          <w:type w:val="nextColumn"/>
          <w:pgSz w:w="11899" w:h="16838"/>
          <w:pgMar w:top="238" w:right="972" w:bottom="228" w:left="1022" w:header="720" w:footer="720" w:gutter="0"/>
          <w:cols w:num="2" w:equalWidth="0">
            <w:col w:w="3770" w:space="0"/>
            <w:col w:w="6135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53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25</w:t>
      </w:r>
    </w:p>
    <w:p>
      <w:pPr>
        <w:sectPr>
          <w:type w:val="continuous"/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Hardware &amp; Model Strategy</w:t>
      </w:r>
    </w:p>
    <w:p>
      <w:pPr>
        <w:autoSpaceDN w:val="0"/>
        <w:tabs>
          <w:tab w:pos="252" w:val="left"/>
        </w:tabs>
        <w:autoSpaceDE w:val="0"/>
        <w:widowControl/>
        <w:spacing w:line="240" w:lineRule="auto" w:before="620" w:after="0"/>
        <w:ind w:left="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/>
          <w:i w:val="0"/>
          <w:color w:val="0F2027"/>
          <w:sz w:val="21"/>
        </w:rPr>
        <w:t>Data locality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: Sensitive faculty research data never traverses the campus backbone — processed at the edge node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with only aggregated results transmitted to core</w:t>
      </w:r>
    </w:p>
    <w:p>
      <w:pPr>
        <w:autoSpaceDN w:val="0"/>
        <w:tabs>
          <w:tab w:pos="252" w:val="left"/>
        </w:tabs>
        <w:autoSpaceDE w:val="0"/>
        <w:widowControl/>
        <w:spacing w:line="240" w:lineRule="auto" w:before="128" w:after="0"/>
        <w:ind w:left="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/>
          <w:i w:val="0"/>
          <w:color w:val="0F2027"/>
          <w:sz w:val="21"/>
        </w:rPr>
        <w:t>Latency reduction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: Edge prefill means first-token latency under 200ms for researchers in edge locations</w:t>
      </w:r>
    </w:p>
    <w:p>
      <w:pPr>
        <w:autoSpaceDN w:val="0"/>
        <w:tabs>
          <w:tab w:pos="252" w:val="left"/>
        </w:tabs>
        <w:autoSpaceDE w:val="0"/>
        <w:widowControl/>
        <w:spacing w:line="240" w:lineRule="auto" w:before="112" w:after="0"/>
        <w:ind w:left="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/>
          <w:i w:val="0"/>
          <w:color w:val="0F2027"/>
          <w:sz w:val="21"/>
        </w:rPr>
        <w:t>Load distribution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: Edge nodes absorb 30–40% of inference load, leaving core Mac Studios free for complex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decode and swarm orchestration</w:t>
      </w:r>
    </w:p>
    <w:p>
      <w:pPr>
        <w:autoSpaceDN w:val="0"/>
        <w:tabs>
          <w:tab w:pos="252" w:val="left"/>
        </w:tabs>
        <w:autoSpaceDE w:val="0"/>
        <w:widowControl/>
        <w:spacing w:line="240" w:lineRule="auto" w:before="128" w:after="0"/>
        <w:ind w:left="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/>
          <w:i w:val="0"/>
          <w:color w:val="0F2027"/>
          <w:sz w:val="21"/>
        </w:rPr>
        <w:t>Resilience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: Edge nodes can operate autonomously for up to 24 hours if core cluster connectivity is interrupted</w:t>
      </w:r>
    </w:p>
    <w:p>
      <w:pPr>
        <w:autoSpaceDN w:val="0"/>
        <w:tabs>
          <w:tab w:pos="252" w:val="left"/>
        </w:tabs>
        <w:autoSpaceDE w:val="0"/>
        <w:widowControl/>
        <w:spacing w:line="240" w:lineRule="auto" w:before="114" w:after="0"/>
        <w:ind w:left="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/>
          <w:i w:val="0"/>
          <w:color w:val="0F2027"/>
          <w:sz w:val="21"/>
        </w:rPr>
        <w:t>Consortium readiness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: Edge deployment pattern is directly transferable to partner institutions — they deploy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DGX Spark nodes and connect via secure VPN mesh</w:t>
      </w:r>
    </w:p>
    <w:p>
      <w:pPr>
        <w:autoSpaceDN w:val="0"/>
        <w:autoSpaceDE w:val="0"/>
        <w:widowControl/>
        <w:spacing w:line="230" w:lineRule="auto" w:before="37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Updated Model Stack</w:t>
      </w:r>
    </w:p>
    <w:p>
      <w:pPr>
        <w:autoSpaceDN w:val="0"/>
        <w:autoSpaceDE w:val="0"/>
        <w:widowControl/>
        <w:spacing w:line="281" w:lineRule="auto" w:before="242" w:after="0"/>
        <w:ind w:left="0" w:right="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The model selection follows the same rigorous evaluation as MyFIS AI, extended for research-domain requirements: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bilingual (Malay/English) research prompts, tool-calling for multi-agent workflows, long-context document analysis,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and reproducible outputs.</w:t>
      </w:r>
    </w:p>
    <w:p>
      <w:pPr>
        <w:autoSpaceDN w:val="0"/>
        <w:autoSpaceDE w:val="0"/>
        <w:widowControl/>
        <w:spacing w:line="230" w:lineRule="auto" w:before="236" w:after="158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19 Model Stack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1"/>
        <w:gridCol w:w="1981"/>
        <w:gridCol w:w="1981"/>
        <w:gridCol w:w="1981"/>
        <w:gridCol w:w="1981"/>
      </w:tblGrid>
      <w:tr>
        <w:trPr>
          <w:trHeight w:hRule="exact" w:val="458"/>
        </w:trPr>
        <w:tc>
          <w:tcPr>
            <w:tcW w:type="dxa" w:w="2358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Model</w:t>
            </w:r>
          </w:p>
        </w:tc>
        <w:tc>
          <w:tcPr>
            <w:tcW w:type="dxa" w:w="1960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0" w:right="68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Quantisation</w:t>
            </w:r>
          </w:p>
        </w:tc>
        <w:tc>
          <w:tcPr>
            <w:tcW w:type="dxa" w:w="940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Memory</w:t>
            </w:r>
          </w:p>
        </w:tc>
        <w:tc>
          <w:tcPr>
            <w:tcW w:type="dxa" w:w="1180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8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Context</w:t>
            </w:r>
          </w:p>
        </w:tc>
        <w:tc>
          <w:tcPr>
            <w:tcW w:type="dxa" w:w="3448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25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Role</w:t>
            </w:r>
          </w:p>
        </w:tc>
      </w:tr>
      <w:tr>
        <w:trPr>
          <w:trHeight w:hRule="exact" w:val="328"/>
        </w:trPr>
        <w:tc>
          <w:tcPr>
            <w:tcW w:type="dxa" w:w="2358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Qwen3.6-35B-A3B</w:t>
            </w:r>
          </w:p>
        </w:tc>
        <w:tc>
          <w:tcPr>
            <w:tcW w:type="dxa" w:w="1960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41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Q8 / FP8</w:t>
            </w:r>
          </w:p>
        </w:tc>
        <w:tc>
          <w:tcPr>
            <w:tcW w:type="dxa" w:w="940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~20 GB</w:t>
            </w:r>
          </w:p>
        </w:tc>
        <w:tc>
          <w:tcPr>
            <w:tcW w:type="dxa" w:w="1180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262K (ext.</w:t>
            </w:r>
          </w:p>
        </w:tc>
        <w:tc>
          <w:tcPr>
            <w:tcW w:type="dxa" w:w="3448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25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Primary reasoning &amp; fast-lane instruct</w:t>
            </w:r>
          </w:p>
        </w:tc>
      </w:tr>
    </w:tbl>
    <w:p>
      <w:pPr>
        <w:autoSpaceDN w:val="0"/>
        <w:autoSpaceDE w:val="0"/>
        <w:widowControl/>
        <w:spacing w:line="230" w:lineRule="auto" w:before="14" w:after="130"/>
        <w:ind w:left="0" w:right="4158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1M)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1981"/>
        <w:gridCol w:w="1981"/>
        <w:gridCol w:w="1981"/>
        <w:gridCol w:w="1981"/>
        <w:gridCol w:w="1981"/>
      </w:tblGrid>
      <w:tr>
        <w:trPr>
          <w:trHeight w:hRule="exact" w:val="294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Nemotron-3 Super (120B total / 12B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NVFP4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0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~24 GB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1M tokens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Agentic / LangGraph tool-calling (DGX</w:t>
            </w:r>
          </w:p>
        </w:tc>
      </w:tr>
      <w:tr>
        <w:trPr>
          <w:trHeight w:hRule="exact" w:val="332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active)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Q4 / Q8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53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est.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8" w:after="0"/>
              <w:ind w:left="2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256K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25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B)</w:t>
            </w:r>
          </w:p>
        </w:tc>
      </w:tr>
      <w:tr>
        <w:trPr>
          <w:trHeight w:hRule="exact" w:val="330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Gemma 4-31B</w:t>
            </w:r>
          </w:p>
        </w:tc>
        <w:tc>
          <w:tcPr>
            <w:tcW w:type="dxa" w:w="1981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20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~32 GB</w:t>
            </w:r>
          </w:p>
        </w:tc>
        <w:tc>
          <w:tcPr>
            <w:tcW w:type="dxa" w:w="1981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25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Fast-lane alt. / benchmark / fallback (Mac</w:t>
            </w:r>
          </w:p>
        </w:tc>
      </w:tr>
    </w:tbl>
    <w:p>
      <w:pPr>
        <w:autoSpaceDN w:val="0"/>
        <w:autoSpaceDE w:val="0"/>
        <w:widowControl/>
        <w:spacing w:line="230" w:lineRule="auto" w:before="36" w:after="130"/>
        <w:ind w:left="0" w:right="303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B)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1981"/>
        <w:gridCol w:w="1981"/>
        <w:gridCol w:w="1981"/>
        <w:gridCol w:w="1981"/>
        <w:gridCol w:w="1981"/>
      </w:tblGrid>
      <w:tr>
        <w:trPr>
          <w:trHeight w:hRule="exact" w:val="288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bge-m3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88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FP16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5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~2 GB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52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5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Multilingual embedding (co-resident, Mac</w:t>
            </w:r>
          </w:p>
        </w:tc>
      </w:tr>
    </w:tbl>
    <w:p>
      <w:pPr>
        <w:autoSpaceDN w:val="0"/>
        <w:autoSpaceDE w:val="0"/>
        <w:widowControl/>
        <w:spacing w:line="230" w:lineRule="auto" w:before="28" w:after="146"/>
        <w:ind w:left="0" w:right="302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1981"/>
        <w:gridCol w:w="1981"/>
        <w:gridCol w:w="1981"/>
        <w:gridCol w:w="1981"/>
        <w:gridCol w:w="1981"/>
      </w:tblGrid>
      <w:tr>
        <w:trPr>
          <w:trHeight w:hRule="exact" w:val="288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Anthropic Claude Sonnet / Opus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7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Cloud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42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200K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3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Quality escalation (anonymised only,</w:t>
            </w:r>
          </w:p>
        </w:tc>
      </w:tr>
    </w:tbl>
    <w:p>
      <w:pPr>
        <w:autoSpaceDN w:val="0"/>
        <w:autoSpaceDE w:val="0"/>
        <w:widowControl/>
        <w:spacing w:line="230" w:lineRule="auto" w:before="28" w:after="0"/>
        <w:ind w:left="0" w:right="281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&lt;5%)</w:t>
      </w:r>
    </w:p>
    <w:p>
      <w:pPr>
        <w:autoSpaceDN w:val="0"/>
        <w:autoSpaceDE w:val="0"/>
        <w:widowControl/>
        <w:spacing w:line="230" w:lineRule="auto" w:before="364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C5364"/>
          <w:sz w:val="22"/>
        </w:rPr>
        <w:t>Phase 0 Benchmark — Updated Candidates</w:t>
      </w:r>
    </w:p>
    <w:p>
      <w:pPr>
        <w:autoSpaceDN w:val="0"/>
        <w:autoSpaceDE w:val="0"/>
        <w:widowControl/>
        <w:spacing w:line="290" w:lineRule="auto" w:before="156" w:after="0"/>
        <w:ind w:left="0" w:right="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Before Phase 1 begins, the formal benchmark compares Qwen3.6-35B-A3B vs Gemma 4-31B vs Nemotron-3 Super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on UPSI-specific criteria: bilingual (Malay/English) research prompts, Text-to-SQL correctness over research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databases, literature retrieval quality, multi-agent tool-calling accuracy, and instruction-following compliance. All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three models are Apache 2.0 / open-weights licensed. The benchmark winner becomes the production primary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model. Architecture swap paths are maintained regardless of outcome.</w:t>
      </w:r>
    </w:p>
    <w:p>
      <w:pPr>
        <w:autoSpaceDN w:val="0"/>
        <w:autoSpaceDE w:val="0"/>
        <w:widowControl/>
        <w:spacing w:line="233" w:lineRule="auto" w:before="4168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26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Hybrid RAG &amp; Document Intelligence</w:t>
      </w:r>
    </w:p>
    <w:p>
      <w:pPr>
        <w:autoSpaceDN w:val="0"/>
        <w:autoSpaceDE w:val="0"/>
        <w:widowControl/>
        <w:spacing w:line="230" w:lineRule="auto" w:before="54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36"/>
        </w:rPr>
        <w:t>Hybrid RAG &amp; Document Intelligence</w:t>
      </w:r>
    </w:p>
    <w:p>
      <w:pPr>
        <w:autoSpaceDN w:val="0"/>
        <w:autoSpaceDE w:val="0"/>
        <w:widowControl/>
        <w:spacing w:line="230" w:lineRule="auto" w:before="43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Pure semantic search fails in research. Qwen3.6-35B-A3B with its 262K–1M context window handles both: vector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retrieval for research papers and documents, and Text-to-SQL for structured research data — running in parallel and</w:t>
      </w:r>
    </w:p>
    <w:p>
      <w:pPr>
        <w:autoSpaceDN w:val="0"/>
        <w:autoSpaceDE w:val="0"/>
        <w:widowControl/>
        <w:spacing w:line="230" w:lineRule="auto" w:before="78" w:after="198"/>
        <w:ind w:left="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merging context before the LLM generates a response.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76"/>
        <w:gridCol w:w="2476"/>
        <w:gridCol w:w="2476"/>
        <w:gridCol w:w="2476"/>
      </w:tblGrid>
      <w:tr>
        <w:trPr>
          <w:trHeight w:hRule="exact" w:val="458"/>
        </w:trPr>
        <w:tc>
          <w:tcPr>
            <w:tcW w:type="dxa" w:w="4158"/>
            <w:gridSpan w:val="2"/>
            <w:tcBorders>
              <w:top w:sz="11.199999999999818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Vector Retrieval Handles</w:t>
            </w:r>
          </w:p>
        </w:tc>
        <w:tc>
          <w:tcPr>
            <w:tcW w:type="dxa" w:w="5728"/>
            <w:gridSpan w:val="2"/>
            <w:tcBorders>
              <w:top w:sz="11.199999999999818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86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Text-to-SQL Handles</w:t>
            </w:r>
          </w:p>
        </w:tc>
      </w:tr>
      <w:tr>
        <w:trPr>
          <w:trHeight w:hRule="exact" w:val="452"/>
        </w:trPr>
        <w:tc>
          <w:tcPr>
            <w:tcW w:type="dxa" w:w="21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40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8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 papers and journal articles</w:t>
            </w:r>
          </w:p>
        </w:tc>
        <w:tc>
          <w:tcPr>
            <w:tcW w:type="dxa" w:w="1000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8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Publication database queries by author/period</w:t>
            </w:r>
          </w:p>
        </w:tc>
      </w:tr>
      <w:tr>
        <w:trPr>
          <w:trHeight w:hRule="exact" w:val="320"/>
        </w:trPr>
        <w:tc>
          <w:tcPr>
            <w:tcW w:type="dxa" w:w="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8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Grant proposals and award documents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8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Grant expenditure lookups and summaries</w:t>
            </w:r>
          </w:p>
        </w:tc>
      </w:tr>
      <w:tr>
        <w:trPr>
          <w:trHeight w:hRule="exact" w:val="300"/>
        </w:trPr>
        <w:tc>
          <w:tcPr>
            <w:tcW w:type="dxa" w:w="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8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IRB approval letters and ethics guidelines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8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Researcher profile and expertise searches</w:t>
            </w:r>
          </w:p>
        </w:tc>
      </w:tr>
      <w:tr>
        <w:trPr>
          <w:trHeight w:hRule="exact" w:val="300"/>
        </w:trPr>
        <w:tc>
          <w:tcPr>
            <w:tcW w:type="dxa" w:w="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8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Institutional policy circulars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8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Ethics approval status by project</w:t>
            </w:r>
          </w:p>
        </w:tc>
      </w:tr>
      <w:tr>
        <w:trPr>
          <w:trHeight w:hRule="exact" w:val="498"/>
        </w:trPr>
        <w:tc>
          <w:tcPr>
            <w:tcW w:type="dxa" w:w="21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4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8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Scanned historical research records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8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Equipment and resource utilisation</w:t>
            </w:r>
          </w:p>
        </w:tc>
      </w:tr>
    </w:tbl>
    <w:p>
      <w:pPr>
        <w:autoSpaceDN w:val="0"/>
        <w:autoSpaceDE w:val="0"/>
        <w:widowControl/>
        <w:spacing w:line="230" w:lineRule="auto" w:before="328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Document Intelligence Pipeline (IBM Docling)</w:t>
      </w:r>
    </w:p>
    <w:p>
      <w:pPr>
        <w:autoSpaceDN w:val="0"/>
        <w:autoSpaceDE w:val="0"/>
        <w:widowControl/>
        <w:spacing w:line="230" w:lineRule="auto" w:before="306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20 Document Processing Pipeline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442"/>
        </w:trPr>
        <w:tc>
          <w:tcPr>
            <w:tcW w:type="dxa" w:w="2438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Document Type</w:t>
            </w:r>
          </w:p>
        </w:tc>
        <w:tc>
          <w:tcPr>
            <w:tcW w:type="dxa" w:w="2860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25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Docling Treatment</w:t>
            </w:r>
          </w:p>
        </w:tc>
        <w:tc>
          <w:tcPr>
            <w:tcW w:type="dxa" w:w="4588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94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Output Format</w:t>
            </w:r>
          </w:p>
        </w:tc>
      </w:tr>
      <w:tr>
        <w:trPr>
          <w:trHeight w:hRule="exact" w:val="326"/>
        </w:trPr>
        <w:tc>
          <w:tcPr>
            <w:tcW w:type="dxa" w:w="243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 paper PDFs (ACM,</w:t>
            </w:r>
          </w:p>
        </w:tc>
        <w:tc>
          <w:tcPr>
            <w:tcW w:type="dxa" w:w="2860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25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Layout + table + figure extraction</w:t>
            </w:r>
          </w:p>
        </w:tc>
        <w:tc>
          <w:tcPr>
            <w:tcW w:type="dxa" w:w="458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9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Markdown with structured tables; figures converted to</w:t>
            </w:r>
          </w:p>
        </w:tc>
      </w:tr>
      <w:tr>
        <w:trPr>
          <w:trHeight w:hRule="exact" w:val="336"/>
        </w:trPr>
        <w:tc>
          <w:tcPr>
            <w:tcW w:type="dxa" w:w="2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IEEE, etc.)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Section-aware text + budget table</w:t>
            </w:r>
          </w:p>
        </w:tc>
        <w:tc>
          <w:tcPr>
            <w:tcW w:type="dxa" w:w="4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9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descriptive captions</w:t>
            </w:r>
          </w:p>
        </w:tc>
      </w:tr>
      <w:tr>
        <w:trPr>
          <w:trHeight w:hRule="exact" w:val="330"/>
        </w:trPr>
        <w:tc>
          <w:tcPr>
            <w:tcW w:type="dxa" w:w="2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Grant proposal PDFs</w:t>
            </w:r>
          </w:p>
        </w:tc>
        <w:tc>
          <w:tcPr>
            <w:tcW w:type="dxa" w:w="3302"/>
            <w:vMerge/>
            <w:tcBorders/>
          </w:tcPr>
          <w:p/>
        </w:tc>
        <w:tc>
          <w:tcPr>
            <w:tcW w:type="dxa" w:w="4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19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Structured Markdown with budget tables preserved</w:t>
            </w:r>
          </w:p>
        </w:tc>
      </w:tr>
    </w:tbl>
    <w:p>
      <w:pPr>
        <w:autoSpaceDN w:val="0"/>
        <w:autoSpaceDE w:val="0"/>
        <w:widowControl/>
        <w:spacing w:line="230" w:lineRule="auto" w:before="12" w:after="146"/>
        <w:ind w:left="0" w:right="6498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extraction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88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Scanned historical documents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3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VLM-backed OCR (Qwen3.6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OCR text + document metadata</w:t>
            </w:r>
          </w:p>
        </w:tc>
      </w:tr>
    </w:tbl>
    <w:p>
      <w:pPr>
        <w:autoSpaceDN w:val="0"/>
        <w:autoSpaceDE w:val="0"/>
        <w:widowControl/>
        <w:spacing w:line="230" w:lineRule="auto" w:before="28" w:after="130"/>
        <w:ind w:left="0" w:right="6328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multimodal)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356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IRB approval letters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7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Structured field extraction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3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Key-value pairs: approval ID, date, scope, conditions</w:t>
            </w:r>
          </w:p>
        </w:tc>
      </w:tr>
      <w:tr>
        <w:trPr>
          <w:trHeight w:hRule="exact" w:val="338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 datasets (CSV, Excel)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Table detection + schema inference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3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Structured tabular Markdown with column type</w:t>
            </w:r>
          </w:p>
        </w:tc>
      </w:tr>
    </w:tbl>
    <w:p>
      <w:pPr>
        <w:autoSpaceDN w:val="0"/>
        <w:autoSpaceDE w:val="0"/>
        <w:widowControl/>
        <w:spacing w:line="230" w:lineRule="auto" w:before="28" w:after="112"/>
        <w:ind w:left="0" w:right="358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annotations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05"/>
      </w:tblGrid>
      <w:tr>
        <w:trPr>
          <w:trHeight w:hRule="exact" w:val="566"/>
        </w:trPr>
        <w:tc>
          <w:tcPr>
            <w:tcW w:type="dxa" w:w="9886"/>
            <w:tcBorders>
              <w:top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15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9"/>
              </w:rPr>
              <w:t>NO SEPARATE VECTOR DATABASE REQUIRED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05"/>
      </w:tblGrid>
      <w:tr>
        <w:trPr>
          <w:trHeight w:hRule="exact" w:val="280"/>
        </w:trPr>
        <w:tc>
          <w:tcPr>
            <w:tcW w:type="dxa" w:w="9886"/>
            <w:tcBorders/>
            <w:shd w:fill="f0f6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Given the existing PostgreSQL infrastructure and manageable vector corpus size, the project uses pgvector with HNSW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97" w:type="dxa"/>
      </w:tblPr>
      <w:tblGrid>
        <w:gridCol w:w="9905"/>
      </w:tblGrid>
      <w:tr>
        <w:trPr>
          <w:trHeight w:hRule="exact" w:val="276"/>
        </w:trPr>
        <w:tc>
          <w:tcPr>
            <w:tcW w:type="dxa" w:w="9740"/>
            <w:tcBorders/>
            <w:shd w:fill="f0f6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indexing on the AI read replica. This eliminates a separate vector database dependency (e.g., Pinecone, Weaviate), keeps 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97" w:type="dxa"/>
      </w:tblPr>
      <w:tblGrid>
        <w:gridCol w:w="9905"/>
      </w:tblGrid>
      <w:tr>
        <w:trPr>
          <w:trHeight w:hRule="exact" w:val="270"/>
        </w:trPr>
        <w:tc>
          <w:tcPr>
            <w:tcW w:type="dxa" w:w="9740"/>
            <w:tcBorders/>
            <w:shd w:fill="f0f6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full data layer within the existing PostgreSQL operational model, and reduces both infrastructure cost and operational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97" w:type="dxa"/>
      </w:tblPr>
      <w:tblGrid>
        <w:gridCol w:w="9905"/>
      </w:tblGrid>
      <w:tr>
        <w:trPr>
          <w:trHeight w:hRule="exact" w:val="302"/>
        </w:trPr>
        <w:tc>
          <w:tcPr>
            <w:tcW w:type="dxa" w:w="5400"/>
            <w:tcBorders/>
            <w:shd w:fill="f0f6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9"/>
              </w:rPr>
              <w:t>complexity.</w:t>
            </w:r>
          </w:p>
        </w:tc>
      </w:tr>
    </w:tbl>
    <w:p>
      <w:pPr>
        <w:autoSpaceDN w:val="0"/>
        <w:autoSpaceDE w:val="0"/>
        <w:widowControl/>
        <w:spacing w:line="233" w:lineRule="auto" w:before="4338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27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Agentic Workflows (LangGraph + Nemotron-3 Super)</w:t>
      </w:r>
    </w:p>
    <w:p>
      <w:pPr>
        <w:autoSpaceDN w:val="0"/>
        <w:autoSpaceDE w:val="0"/>
        <w:widowControl/>
        <w:spacing w:line="230" w:lineRule="auto" w:before="54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36"/>
        </w:rPr>
        <w:t>Agentic Workflows (LangGraph + Nemotron-3 Super)</w:t>
      </w:r>
    </w:p>
    <w:p>
      <w:pPr>
        <w:autoSpaceDN w:val="0"/>
        <w:autoSpaceDE w:val="0"/>
        <w:widowControl/>
        <w:spacing w:line="230" w:lineRule="auto" w:before="43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Three Phase 2 workflows deliver the highest-value AI capabilities: multi-agent swarm orchestration (on-demand for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complex research tasks), research experiment automation (scheduled or on-demand), and IRB compliance auditing</w:t>
      </w:r>
    </w:p>
    <w:p>
      <w:pPr>
        <w:autoSpaceDN w:val="0"/>
        <w:autoSpaceDE w:val="0"/>
        <w:widowControl/>
        <w:spacing w:line="230" w:lineRule="auto" w:before="7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(continuous). These are multi-step LangGraph reasoning chains. Nemotron-3 Super (120B total / 12B active) handles all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tool-calling steps locally — running on DGX Spark B with NVFP4 precision and a 1M token context window.</w:t>
      </w:r>
    </w:p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Why Use LangGraph for Suluh Swarm?</w:t>
      </w:r>
    </w:p>
    <w:p>
      <w:pPr>
        <w:autoSpaceDN w:val="0"/>
        <w:autoSpaceDE w:val="0"/>
        <w:widowControl/>
        <w:spacing w:line="233" w:lineRule="auto" w:before="304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21 LangGraph vs. Alternatives for Suluh Swarm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52"/>
        <w:gridCol w:w="4952"/>
      </w:tblGrid>
      <w:tr>
        <w:trPr>
          <w:trHeight w:hRule="exact" w:val="442"/>
        </w:trPr>
        <w:tc>
          <w:tcPr>
            <w:tcW w:type="dxa" w:w="1298"/>
            <w:tcBorders>
              <w:top w:sz="12.0" w:val="single" w:color="#333333"/>
              <w:bottom w:sz="6.3999999999998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Dimension</w:t>
            </w:r>
          </w:p>
        </w:tc>
        <w:tc>
          <w:tcPr>
            <w:tcW w:type="dxa" w:w="8588"/>
            <w:tcBorders>
              <w:top w:sz="12.0" w:val="single" w:color="#333333"/>
              <w:bottom w:sz="6.3999999999998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35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LangGraph Advantage for Suluh Swarm</w:t>
            </w:r>
          </w:p>
        </w:tc>
      </w:tr>
      <w:tr>
        <w:trPr>
          <w:trHeight w:hRule="exact" w:val="330"/>
        </w:trPr>
        <w:tc>
          <w:tcPr>
            <w:tcW w:type="dxa" w:w="1298"/>
            <w:tcBorders>
              <w:top w:sz="6.39999999999986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Auditability</w:t>
            </w:r>
          </w:p>
        </w:tc>
        <w:tc>
          <w:tcPr>
            <w:tcW w:type="dxa" w:w="8588"/>
            <w:tcBorders>
              <w:top w:sz="6.39999999999986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35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Every graph node is a traceable LangFuse span. LangGraph's explicit state machine makes the audit trail</w:t>
            </w:r>
          </w:p>
        </w:tc>
      </w:tr>
    </w:tbl>
    <w:p>
      <w:pPr>
        <w:autoSpaceDN w:val="0"/>
        <w:autoSpaceDE w:val="0"/>
        <w:widowControl/>
        <w:spacing w:line="230" w:lineRule="auto" w:before="12" w:after="0"/>
        <w:ind w:left="165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deterministic — every tool call, every routing decision, every model response is logged.</w:t>
      </w:r>
    </w:p>
    <w:p>
      <w:pPr>
        <w:autoSpaceDN w:val="0"/>
        <w:tabs>
          <w:tab w:pos="1654" w:val="left"/>
        </w:tabs>
        <w:autoSpaceDE w:val="0"/>
        <w:widowControl/>
        <w:spacing w:line="230" w:lineRule="auto" w:before="20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PDPA enforcement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PDPA masking runs explicitly at each node boundary in LangGraph. The constraint is enforced in code, not in a</w:t>
      </w:r>
    </w:p>
    <w:p>
      <w:pPr>
        <w:autoSpaceDN w:val="0"/>
        <w:autoSpaceDE w:val="0"/>
        <w:widowControl/>
        <w:spacing w:line="230" w:lineRule="auto" w:before="56" w:after="0"/>
        <w:ind w:left="165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role description.</w:t>
      </w:r>
    </w:p>
    <w:p>
      <w:pPr>
        <w:autoSpaceDN w:val="0"/>
        <w:tabs>
          <w:tab w:pos="1654" w:val="left"/>
        </w:tabs>
        <w:autoSpaceDE w:val="0"/>
        <w:widowControl/>
        <w:spacing w:line="230" w:lineRule="auto" w:before="20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IRB gating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The IRB ethics gate runs deterministically at a defined LangGraph node. No bypass path exists.</w:t>
      </w:r>
    </w:p>
    <w:p>
      <w:pPr>
        <w:autoSpaceDN w:val="0"/>
        <w:tabs>
          <w:tab w:pos="1654" w:val="left"/>
        </w:tabs>
        <w:autoSpaceDE w:val="0"/>
        <w:widowControl/>
        <w:spacing w:line="230" w:lineRule="auto" w:before="190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Multi-agent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LangGraph's subgraph support enables nested agent teams with shared state and message passing — essential</w:t>
      </w:r>
    </w:p>
    <w:p>
      <w:pPr>
        <w:autoSpaceDN w:val="0"/>
        <w:tabs>
          <w:tab w:pos="1654" w:val="left"/>
        </w:tabs>
        <w:autoSpaceDE w:val="0"/>
        <w:widowControl/>
        <w:spacing w:line="230" w:lineRule="auto" w:before="5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coordination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for swarm behaviour.</w:t>
      </w:r>
    </w:p>
    <w:p>
      <w:pPr>
        <w:autoSpaceDN w:val="0"/>
        <w:tabs>
          <w:tab w:pos="1654" w:val="left"/>
        </w:tabs>
        <w:autoSpaceDE w:val="0"/>
        <w:widowControl/>
        <w:spacing w:line="230" w:lineRule="auto" w:before="20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Production grade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LangGraph v1.0 (stable, Oct 2025) is deployed at LinkedIn, Replit, and Elastic. The choice is permanent — we</w:t>
      </w:r>
    </w:p>
    <w:p>
      <w:pPr>
        <w:autoSpaceDN w:val="0"/>
        <w:autoSpaceDE w:val="0"/>
        <w:widowControl/>
        <w:spacing w:line="230" w:lineRule="auto" w:before="56" w:after="0"/>
        <w:ind w:left="1654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start with production-grade architecture.</w:t>
      </w:r>
    </w:p>
    <w:p>
      <w:pPr>
        <w:autoSpaceDN w:val="0"/>
        <w:autoSpaceDE w:val="0"/>
        <w:widowControl/>
        <w:spacing w:line="240" w:lineRule="auto" w:before="32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62650" cy="29489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92" w:after="0"/>
        <w:ind w:left="0" w:right="0" w:firstLine="0"/>
        <w:jc w:val="center"/>
      </w:pPr>
      <w:r>
        <w:rPr>
          <w:rFonts w:ascii="Liberation Serif" w:hAnsi="Liberation Serif" w:eastAsia="Liberation Serif"/>
          <w:b/>
          <w:i w:val="0"/>
          <w:color w:val="666666"/>
          <w:sz w:val="17"/>
        </w:rPr>
        <w:t xml:space="preserve">Figure 4 </w:t>
      </w:r>
      <w:r>
        <w:rPr>
          <w:rFonts w:ascii="Liberation Serif" w:hAnsi="Liberation Serif" w:eastAsia="Liberation Serif"/>
          <w:b w:val="0"/>
          <w:i/>
          <w:color w:val="666666"/>
          <w:sz w:val="17"/>
        </w:rPr>
        <w:t>Multi-agent swarm workflow (LangGraph + Nemotron-3 Super). Agent discovery, task decomposition, distributed execution, and</w:t>
      </w:r>
    </w:p>
    <w:p>
      <w:pPr>
        <w:autoSpaceDN w:val="0"/>
        <w:autoSpaceDE w:val="0"/>
        <w:widowControl/>
        <w:spacing w:line="230" w:lineRule="auto" w:before="66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666666"/>
          <w:sz w:val="17"/>
        </w:rPr>
        <w:t>consensus — all within LangGraph state machine with full traceability.</w:t>
      </w:r>
    </w:p>
    <w:p>
      <w:pPr>
        <w:autoSpaceDN w:val="0"/>
        <w:autoSpaceDE w:val="0"/>
        <w:widowControl/>
        <w:spacing w:line="233" w:lineRule="auto" w:before="350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Workflow 1 — Multi-Agent Swarm Orchestration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center"/>
      </w:pPr>
      <w:r>
        <w:rPr>
          <w:rFonts w:ascii="Liberation Serif" w:hAnsi="Liberation Serif" w:eastAsia="Liberation Serif"/>
          <w:b/>
          <w:i w:val="0"/>
          <w:color w:val="0F2027"/>
          <w:sz w:val="21"/>
        </w:rPr>
        <w:t>Trigger: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 Researcher describes a research goal in the Workbench. </w:t>
      </w:r>
      <w:r>
        <w:rPr>
          <w:rFonts w:ascii="Liberation Serif" w:hAnsi="Liberation Serif" w:eastAsia="Liberation Serif"/>
          <w:b/>
          <w:i w:val="0"/>
          <w:color w:val="0F2027"/>
          <w:sz w:val="21"/>
        </w:rPr>
        <w:t>Model: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 Nemotron-3 Super on DGX Spark B (tool-</w:t>
      </w:r>
    </w:p>
    <w:p>
      <w:pPr>
        <w:autoSpaceDN w:val="0"/>
        <w:autoSpaceDE w:val="0"/>
        <w:widowControl/>
        <w:spacing w:line="233" w:lineRule="auto" w:before="66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calling steps); Qwen3.6-35B-A3B (narrative step).</w:t>
      </w:r>
    </w:p>
    <w:p>
      <w:pPr>
        <w:autoSpaceDN w:val="0"/>
        <w:autoSpaceDE w:val="0"/>
        <w:widowControl/>
        <w:spacing w:line="233" w:lineRule="auto" w:before="250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22 Swarm Orchestration Steps</w:t>
      </w:r>
    </w:p>
    <w:p>
      <w:pPr>
        <w:autoSpaceDN w:val="0"/>
        <w:autoSpaceDE w:val="0"/>
        <w:widowControl/>
        <w:spacing w:line="233" w:lineRule="auto" w:before="942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28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512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Agentic Workflows (LangGraph + Nemotron-3 Super)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94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query_analysis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LLM tool: classify research intent, extract key entities, determine complexity score, identify IRB risk</w:t>
            </w:r>
          </w:p>
        </w:tc>
      </w:tr>
    </w:tbl>
    <w:p>
      <w:pPr>
        <w:autoSpaceDN w:val="0"/>
        <w:autoSpaceDE w:val="0"/>
        <w:widowControl/>
        <w:spacing w:line="230" w:lineRule="auto" w:before="36" w:after="130"/>
        <w:ind w:left="199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indicators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88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agent_discovery</w:t>
            </w:r>
          </w:p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Registry tool: match required capabilities to registered agents; score compatibility; select 2–5 agents for</w:t>
            </w:r>
          </w:p>
        </w:tc>
      </w:tr>
    </w:tbl>
    <w:p>
      <w:pPr>
        <w:autoSpaceDN w:val="0"/>
        <w:autoSpaceDE w:val="0"/>
        <w:widowControl/>
        <w:spacing w:line="230" w:lineRule="auto" w:before="28" w:after="146"/>
        <w:ind w:left="199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swarm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336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task_decomposition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LLM tool: break research goal into subtasks; assign each to selected agent; define dependency graph</w:t>
            </w:r>
          </w:p>
        </w:tc>
      </w:tr>
      <w:tr>
        <w:trPr>
          <w:trHeight w:hRule="exact" w:val="348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8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swarm_execution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Parallel LangGraph subgraphs: each agent executes its subtask with tool access; intermediate results written</w:t>
            </w:r>
          </w:p>
        </w:tc>
      </w:tr>
    </w:tbl>
    <w:p>
      <w:pPr>
        <w:autoSpaceDN w:val="0"/>
        <w:autoSpaceDE w:val="0"/>
        <w:widowControl/>
        <w:spacing w:line="230" w:lineRule="auto" w:before="36" w:after="132"/>
        <w:ind w:left="199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to shared state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88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consensus_synthesis</w:t>
            </w:r>
          </w:p>
        </w:tc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LLM tool: merge agent outputs, resolve conflicts, generate unified response with citations and confidence</w:t>
            </w:r>
          </w:p>
        </w:tc>
      </w:tr>
    </w:tbl>
    <w:p>
      <w:pPr>
        <w:autoSpaceDN w:val="0"/>
        <w:autoSpaceDE w:val="0"/>
        <w:widowControl/>
        <w:spacing w:line="230" w:lineRule="auto" w:before="26" w:after="146"/>
        <w:ind w:left="199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scores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88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irb_gate</w:t>
            </w:r>
          </w:p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Deterministic classifier: assess ethics risk; flag for human review if RESTRICTED data or human-subject</w:t>
            </w:r>
          </w:p>
        </w:tc>
      </w:tr>
    </w:tbl>
    <w:p>
      <w:pPr>
        <w:autoSpaceDN w:val="0"/>
        <w:autoSpaceDE w:val="0"/>
        <w:widowControl/>
        <w:spacing w:line="230" w:lineRule="auto" w:before="28" w:after="146"/>
        <w:ind w:left="199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indicators detected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88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7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generate_report</w:t>
            </w:r>
          </w:p>
        </w:tc>
        <w:tc>
          <w:tcPr>
            <w:tcW w:type="dxa" w:w="7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LLM tool: format final output with provenance, confidence indicators, recommended citations, and</w:t>
            </w:r>
          </w:p>
        </w:tc>
      </w:tr>
    </w:tbl>
    <w:p>
      <w:pPr>
        <w:autoSpaceDN w:val="0"/>
        <w:autoSpaceDE w:val="0"/>
        <w:widowControl/>
        <w:spacing w:line="230" w:lineRule="auto" w:before="28" w:after="0"/>
        <w:ind w:left="199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reproducibility bundle</w:t>
      </w:r>
    </w:p>
    <w:p>
      <w:pPr>
        <w:autoSpaceDN w:val="0"/>
        <w:autoSpaceDE w:val="0"/>
        <w:widowControl/>
        <w:spacing w:line="233" w:lineRule="auto" w:before="468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Workflow 2 — Research Experiment Automation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center"/>
      </w:pPr>
      <w:r>
        <w:rPr>
          <w:rFonts w:ascii="Liberation Serif" w:hAnsi="Liberation Serif" w:eastAsia="Liberation Serif"/>
          <w:b/>
          <w:i w:val="0"/>
          <w:color w:val="0F2027"/>
          <w:sz w:val="21"/>
        </w:rPr>
        <w:t>Trigger: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 On-demand or scheduled (e.g., weekly literature monitoring). </w:t>
      </w:r>
      <w:r>
        <w:rPr>
          <w:rFonts w:ascii="Liberation Serif" w:hAnsi="Liberation Serif" w:eastAsia="Liberation Serif"/>
          <w:b/>
          <w:i w:val="0"/>
          <w:color w:val="0F2027"/>
          <w:sz w:val="21"/>
        </w:rPr>
        <w:t>Model: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 Nemotron-3 Super (tool-calling);</w:t>
      </w:r>
    </w:p>
    <w:p>
      <w:pPr>
        <w:autoSpaceDN w:val="0"/>
        <w:autoSpaceDE w:val="0"/>
        <w:widowControl/>
        <w:spacing w:line="233" w:lineRule="auto" w:before="66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Qwen3.6-35B-A3B (synthesis).</w:t>
      </w:r>
    </w:p>
    <w:p>
      <w:pPr>
        <w:autoSpaceDN w:val="0"/>
        <w:autoSpaceDE w:val="0"/>
        <w:widowControl/>
        <w:spacing w:line="233" w:lineRule="auto" w:before="250" w:after="154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23 Experiment Automation Steps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444"/>
        </w:trPr>
        <w:tc>
          <w:tcPr>
            <w:tcW w:type="dxa" w:w="498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Step</w:t>
            </w:r>
          </w:p>
        </w:tc>
        <w:tc>
          <w:tcPr>
            <w:tcW w:type="dxa" w:w="1540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Component</w:t>
            </w:r>
          </w:p>
        </w:tc>
        <w:tc>
          <w:tcPr>
            <w:tcW w:type="dxa" w:w="7848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Description</w:t>
            </w:r>
          </w:p>
        </w:tc>
      </w:tr>
      <w:tr>
        <w:trPr>
          <w:trHeight w:hRule="exact" w:val="384"/>
        </w:trPr>
        <w:tc>
          <w:tcPr>
            <w:tcW w:type="dxa" w:w="49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1540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fetch_literature</w:t>
            </w:r>
          </w:p>
        </w:tc>
        <w:tc>
          <w:tcPr>
            <w:tcW w:type="dxa" w:w="784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SQL + vector tool: retrieve recent publications matching researcher profile and interest graph</w:t>
            </w:r>
          </w:p>
        </w:tc>
      </w:tr>
      <w:tr>
        <w:trPr>
          <w:trHeight w:hRule="exact" w:val="400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screen_relevance</w:t>
            </w:r>
          </w:p>
        </w:tc>
        <w:tc>
          <w:tcPr>
            <w:tcW w:type="dxa" w:w="7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LLM tool: rank papers by relevance; exclude below threshold; generate one-sentence summaries</w:t>
            </w:r>
          </w:p>
        </w:tc>
      </w:tr>
      <w:tr>
        <w:trPr>
          <w:trHeight w:hRule="exact" w:val="400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extract_findings</w:t>
            </w:r>
          </w:p>
        </w:tc>
        <w:tc>
          <w:tcPr>
            <w:tcW w:type="dxa" w:w="7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Docling tool: extract key findings, methods, datasets, and limitations from each relevant paper</w:t>
            </w:r>
          </w:p>
        </w:tc>
      </w:tr>
      <w:tr>
        <w:trPr>
          <w:trHeight w:hRule="exact" w:val="400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analyse_patterns</w:t>
            </w:r>
          </w:p>
        </w:tc>
        <w:tc>
          <w:tcPr>
            <w:tcW w:type="dxa" w:w="7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Deterministic Python: statistical analysis of extracted findings; trend detection; gap identification</w:t>
            </w:r>
          </w:p>
        </w:tc>
      </w:tr>
      <w:tr>
        <w:trPr>
          <w:trHeight w:hRule="exact" w:val="338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generate_synthesis</w:t>
            </w:r>
          </w:p>
        </w:tc>
        <w:tc>
          <w:tcPr>
            <w:tcW w:type="dxa" w:w="7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9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LLM (Qwen3.6): structured literature synthesis with gap analysis, methodology critique, and research</w:t>
            </w:r>
          </w:p>
        </w:tc>
      </w:tr>
    </w:tbl>
    <w:p>
      <w:pPr>
        <w:autoSpaceDN w:val="0"/>
        <w:autoSpaceDE w:val="0"/>
        <w:widowControl/>
        <w:spacing w:line="230" w:lineRule="auto" w:before="14" w:after="130"/>
        <w:ind w:left="212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opportunities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386"/>
        </w:trPr>
        <w:tc>
          <w:tcPr>
            <w:tcW w:type="dxa" w:w="37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152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irb_pre_screen</w:t>
            </w:r>
          </w:p>
        </w:tc>
        <w:tc>
          <w:tcPr>
            <w:tcW w:type="dxa" w:w="798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Deterministic classifier: flag any human-subject research recommendations for IRB review before action</w:t>
            </w:r>
          </w:p>
        </w:tc>
      </w:tr>
    </w:tbl>
    <w:p>
      <w:pPr>
        <w:autoSpaceDN w:val="0"/>
        <w:autoSpaceDE w:val="0"/>
        <w:widowControl/>
        <w:spacing w:line="230" w:lineRule="auto" w:before="34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Workflow 3 — IRB Compliance Auditing</w:t>
      </w:r>
    </w:p>
    <w:p>
      <w:pPr>
        <w:autoSpaceDN w:val="0"/>
        <w:autoSpaceDE w:val="0"/>
        <w:widowControl/>
        <w:spacing w:line="230" w:lineRule="auto" w:before="242" w:after="0"/>
        <w:ind w:left="0" w:right="0" w:firstLine="0"/>
        <w:jc w:val="center"/>
      </w:pPr>
      <w:r>
        <w:rPr>
          <w:rFonts w:ascii="Liberation Serif" w:hAnsi="Liberation Serif" w:eastAsia="Liberation Serif"/>
          <w:b/>
          <w:i w:val="0"/>
          <w:color w:val="0F2027"/>
          <w:sz w:val="21"/>
        </w:rPr>
        <w:t>Trigger: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 Continuous (real-time on all agent outputs) or on-demand by IRB officers. </w:t>
      </w:r>
      <w:r>
        <w:rPr>
          <w:rFonts w:ascii="Liberation Serif" w:hAnsi="Liberation Serif" w:eastAsia="Liberation Serif"/>
          <w:b/>
          <w:i w:val="0"/>
          <w:color w:val="0F2027"/>
          <w:sz w:val="21"/>
        </w:rPr>
        <w:t>Model: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 Qwen3.6-35B-A3B</w:t>
      </w:r>
    </w:p>
    <w:p>
      <w:pPr>
        <w:autoSpaceDN w:val="0"/>
        <w:autoSpaceDE w:val="0"/>
        <w:widowControl/>
        <w:spacing w:line="233" w:lineRule="auto" w:before="68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(classification); deterministic rules engine.</w:t>
      </w:r>
    </w:p>
    <w:p>
      <w:pPr>
        <w:autoSpaceDN w:val="0"/>
        <w:autoSpaceDE w:val="0"/>
        <w:widowControl/>
        <w:spacing w:line="230" w:lineRule="auto" w:before="250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24 IRB Compliance Audit Steps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458"/>
        </w:trPr>
        <w:tc>
          <w:tcPr>
            <w:tcW w:type="dxa" w:w="498"/>
            <w:tcBorders>
              <w:top w:sz="12.0" w:val="single" w:color="#333333"/>
              <w:bottom w:sz="6.40000000000054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Step</w:t>
            </w:r>
          </w:p>
        </w:tc>
        <w:tc>
          <w:tcPr>
            <w:tcW w:type="dxa" w:w="1920"/>
            <w:tcBorders>
              <w:top w:sz="12.0" w:val="single" w:color="#333333"/>
              <w:bottom w:sz="6.40000000000054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Component</w:t>
            </w:r>
          </w:p>
        </w:tc>
        <w:tc>
          <w:tcPr>
            <w:tcW w:type="dxa" w:w="7468"/>
            <w:tcBorders>
              <w:top w:sz="12.0" w:val="single" w:color="#333333"/>
              <w:bottom w:sz="6.40000000000054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Description</w:t>
            </w:r>
          </w:p>
        </w:tc>
      </w:tr>
      <w:tr>
        <w:trPr>
          <w:trHeight w:hRule="exact" w:val="386"/>
        </w:trPr>
        <w:tc>
          <w:tcPr>
            <w:tcW w:type="dxa" w:w="498"/>
            <w:tcBorders>
              <w:top w:sz="6.40000000000054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1920"/>
            <w:tcBorders>
              <w:top w:sz="6.40000000000054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fetch_agent_trace</w:t>
            </w:r>
          </w:p>
        </w:tc>
        <w:tc>
          <w:tcPr>
            <w:tcW w:type="dxa" w:w="7468"/>
            <w:tcBorders>
              <w:top w:sz="6.40000000000054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LangFuse tool: retrieve full trace of agent workflow under review</w:t>
            </w:r>
          </w:p>
        </w:tc>
      </w:tr>
      <w:tr>
        <w:trPr>
          <w:trHeight w:hRule="exact" w:val="400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data_classification_scan</w:t>
            </w:r>
          </w:p>
        </w:tc>
        <w:tc>
          <w:tcPr>
            <w:tcW w:type="dxa" w:w="7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Deterministic scanner: identify all data types accessed; classify against PDPA levels</w:t>
            </w:r>
          </w:p>
        </w:tc>
      </w:tr>
      <w:tr>
        <w:trPr>
          <w:trHeight w:hRule="exact" w:val="380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ethics_risk_assessment</w:t>
            </w:r>
          </w:p>
        </w:tc>
        <w:tc>
          <w:tcPr>
            <w:tcW w:type="dxa" w:w="7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LLM + rules engine: evaluate against IRB criteria; score risk per dimension</w:t>
            </w:r>
          </w:p>
        </w:tc>
      </w:tr>
      <w:tr>
        <w:trPr>
          <w:trHeight w:hRule="exact" w:val="400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compliance_check</w:t>
            </w:r>
          </w:p>
        </w:tc>
        <w:tc>
          <w:tcPr>
            <w:tcW w:type="dxa" w:w="7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Deterministic Python: cross-reference against approved ethics protocols; flag deviations</w:t>
            </w:r>
          </w:p>
        </w:tc>
      </w:tr>
      <w:tr>
        <w:trPr>
          <w:trHeight w:hRule="exact" w:val="342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generate_audit_report</w:t>
            </w:r>
          </w:p>
        </w:tc>
        <w:tc>
          <w:tcPr>
            <w:tcW w:type="dxa" w:w="7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LLM (Qwen3.6): structured compliance brief with risk ratings, deviations, recommended actions,</w:t>
            </w:r>
          </w:p>
        </w:tc>
      </w:tr>
    </w:tbl>
    <w:p>
      <w:pPr>
        <w:autoSpaceDN w:val="0"/>
        <w:autoSpaceDE w:val="0"/>
        <w:widowControl/>
        <w:spacing w:line="230" w:lineRule="auto" w:before="12" w:after="0"/>
        <w:ind w:left="0" w:right="5606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and attestation statement</w:t>
      </w:r>
    </w:p>
    <w:p>
      <w:pPr>
        <w:autoSpaceDN w:val="0"/>
        <w:autoSpaceDE w:val="0"/>
        <w:widowControl/>
        <w:spacing w:line="233" w:lineRule="auto" w:before="97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29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Agentic Workflows (LangGraph + Nemotron-3 Super)</w:t>
      </w:r>
    </w:p>
    <w:p>
      <w:pPr>
        <w:autoSpaceDN w:val="0"/>
        <w:autoSpaceDE w:val="0"/>
        <w:widowControl/>
        <w:spacing w:line="230" w:lineRule="auto" w:before="804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Agent Guardrails — Mandatory</w:t>
      </w:r>
    </w:p>
    <w:p>
      <w:pPr>
        <w:autoSpaceDN w:val="0"/>
        <w:autoSpaceDE w:val="0"/>
        <w:widowControl/>
        <w:spacing w:line="230" w:lineRule="auto" w:before="304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25 Mandatory Agent Guardrails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52"/>
        <w:gridCol w:w="4952"/>
      </w:tblGrid>
      <w:tr>
        <w:trPr>
          <w:trHeight w:hRule="exact" w:val="458"/>
        </w:trPr>
        <w:tc>
          <w:tcPr>
            <w:tcW w:type="dxa" w:w="2058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Guardrail</w:t>
            </w:r>
          </w:p>
        </w:tc>
        <w:tc>
          <w:tcPr>
            <w:tcW w:type="dxa" w:w="7828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35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Implementation</w:t>
            </w:r>
          </w:p>
        </w:tc>
      </w:tr>
      <w:tr>
        <w:trPr>
          <w:trHeight w:hRule="exact" w:val="322"/>
        </w:trPr>
        <w:tc>
          <w:tcPr>
            <w:tcW w:type="dxa" w:w="205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Maximum 15 steps per</w:t>
            </w:r>
          </w:p>
        </w:tc>
        <w:tc>
          <w:tcPr>
            <w:tcW w:type="dxa" w:w="782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Hard limit in LangGraph config. On breach: workflow aborts, partial result returned with warning.</w:t>
            </w:r>
          </w:p>
        </w:tc>
      </w:tr>
    </w:tbl>
    <w:p>
      <w:pPr>
        <w:autoSpaceDN w:val="0"/>
        <w:autoSpaceDE w:val="0"/>
        <w:widowControl/>
        <w:spacing w:line="230" w:lineRule="auto" w:before="22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workflow</w:t>
      </w:r>
    </w:p>
    <w:p>
      <w:pPr>
        <w:autoSpaceDN w:val="0"/>
        <w:tabs>
          <w:tab w:pos="2408" w:val="left"/>
        </w:tabs>
        <w:autoSpaceDE w:val="0"/>
        <w:widowControl/>
        <w:spacing w:line="230" w:lineRule="auto" w:before="190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10-second tool call timeout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Each tool step has an independent timeout. On timeout: step marked failed; agent receives</w:t>
      </w:r>
    </w:p>
    <w:p>
      <w:pPr>
        <w:autoSpaceDN w:val="0"/>
        <w:autoSpaceDE w:val="0"/>
        <w:widowControl/>
        <w:spacing w:line="240" w:lineRule="auto" w:before="56" w:after="0"/>
        <w:ind w:left="2464" w:right="0" w:firstLine="0"/>
        <w:jc w:val="left"/>
      </w:pPr>
      <w:r>
        <w:rPr>
          <w:shd w:val="clear" w:color="auto" w:fill="f5f5f5"/>
          <w:rFonts w:ascii="Noto Sans Mono" w:hAnsi="Noto Sans Mono" w:eastAsia="Noto Sans Mono"/>
          <w:b w:val="0"/>
          <w:i w:val="0"/>
          <w:color w:val="333333"/>
          <w:sz w:val="19"/>
        </w:rPr>
        <w:t>tool_timeout</w:t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 in context.</w:t>
      </w:r>
    </w:p>
    <w:p>
      <w:pPr>
        <w:autoSpaceDN w:val="0"/>
        <w:tabs>
          <w:tab w:pos="2408" w:val="left"/>
        </w:tabs>
        <w:autoSpaceDE w:val="0"/>
        <w:widowControl/>
        <w:spacing w:line="230" w:lineRule="auto" w:before="17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SQL sandbox for all agent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Agent-generated SQL passes through the same 5-stage sandbox as direct Text-to-SQL queries. No</w:t>
      </w:r>
    </w:p>
    <w:p>
      <w:pPr>
        <w:autoSpaceDN w:val="0"/>
        <w:tabs>
          <w:tab w:pos="2408" w:val="left"/>
        </w:tabs>
        <w:autoSpaceDE w:val="0"/>
        <w:widowControl/>
        <w:spacing w:line="230" w:lineRule="auto" w:before="5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SQL calls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bypass path.</w:t>
      </w:r>
    </w:p>
    <w:p>
      <w:pPr>
        <w:autoSpaceDN w:val="0"/>
        <w:tabs>
          <w:tab w:pos="2408" w:val="left"/>
        </w:tabs>
        <w:autoSpaceDE w:val="0"/>
        <w:widowControl/>
        <w:spacing w:line="230" w:lineRule="auto" w:before="20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PDPA scan on all tool outputs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Every tool output is scanned by the PDPA masking layer before injection into the agent's context</w:t>
      </w:r>
    </w:p>
    <w:p>
      <w:pPr>
        <w:autoSpaceDN w:val="0"/>
        <w:autoSpaceDE w:val="0"/>
        <w:widowControl/>
        <w:spacing w:line="230" w:lineRule="auto" w:before="56" w:after="0"/>
        <w:ind w:left="240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window.</w:t>
      </w:r>
    </w:p>
    <w:p>
      <w:pPr>
        <w:autoSpaceDN w:val="0"/>
        <w:tabs>
          <w:tab w:pos="2408" w:val="left"/>
        </w:tabs>
        <w:autoSpaceDE w:val="0"/>
        <w:widowControl/>
        <w:spacing w:line="230" w:lineRule="auto" w:before="20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IRB gate on all human-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Every workflow with human-subject research indicators passes through the IRB ethics gate before</w:t>
      </w:r>
    </w:p>
    <w:p>
      <w:pPr>
        <w:autoSpaceDN w:val="0"/>
        <w:tabs>
          <w:tab w:pos="2408" w:val="left"/>
        </w:tabs>
        <w:autoSpaceDE w:val="0"/>
        <w:widowControl/>
        <w:spacing w:line="230" w:lineRule="auto" w:before="5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subject workflows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output generation.</w:t>
      </w:r>
    </w:p>
    <w:p>
      <w:pPr>
        <w:autoSpaceDN w:val="0"/>
        <w:tabs>
          <w:tab w:pos="2408" w:val="left"/>
        </w:tabs>
        <w:autoSpaceDE w:val="0"/>
        <w:widowControl/>
        <w:spacing w:line="230" w:lineRule="auto" w:before="192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No write tools in Phase 2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tools.yaml contains zero write-capable tools. Adding a write tool requires a formal design review</w:t>
      </w:r>
    </w:p>
    <w:p>
      <w:pPr>
        <w:autoSpaceDN w:val="0"/>
        <w:autoSpaceDE w:val="0"/>
        <w:widowControl/>
        <w:spacing w:line="230" w:lineRule="auto" w:before="70" w:after="0"/>
        <w:ind w:left="240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approval from both Lead Architect and Oversight Director.</w:t>
      </w:r>
    </w:p>
    <w:p>
      <w:pPr>
        <w:autoSpaceDN w:val="0"/>
        <w:tabs>
          <w:tab w:pos="2408" w:val="left"/>
        </w:tabs>
        <w:autoSpaceDE w:val="0"/>
        <w:widowControl/>
        <w:spacing w:line="230" w:lineRule="auto" w:before="192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Agent version pinning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Every workflow pins agent versions at invocation time. Auto-updates disabled without explicit user</w:t>
      </w:r>
    </w:p>
    <w:p>
      <w:pPr>
        <w:autoSpaceDN w:val="0"/>
        <w:autoSpaceDE w:val="0"/>
        <w:widowControl/>
        <w:spacing w:line="230" w:lineRule="auto" w:before="72" w:after="0"/>
        <w:ind w:left="240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approval.</w:t>
      </w:r>
    </w:p>
    <w:p>
      <w:pPr>
        <w:autoSpaceDN w:val="0"/>
        <w:autoSpaceDE w:val="0"/>
        <w:widowControl/>
        <w:spacing w:line="233" w:lineRule="auto" w:before="8802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30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Security &amp; Compliance</w:t>
      </w:r>
    </w:p>
    <w:p>
      <w:pPr>
        <w:autoSpaceDN w:val="0"/>
        <w:autoSpaceDE w:val="0"/>
        <w:widowControl/>
        <w:spacing w:line="230" w:lineRule="auto" w:before="54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36"/>
        </w:rPr>
        <w:t>Security &amp; Compliance</w:t>
      </w:r>
    </w:p>
    <w:p>
      <w:pPr>
        <w:autoSpaceDN w:val="0"/>
        <w:autoSpaceDE w:val="0"/>
        <w:widowControl/>
        <w:spacing w:line="286" w:lineRule="auto" w:before="434" w:after="0"/>
        <w:ind w:left="0" w:right="26" w:firstLine="0"/>
        <w:jc w:val="both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 xml:space="preserve">PDPA and IRB compliance are not checkboxes — they are architectural constraints that shape every component in this </w:t>
      </w:r>
      <w:r>
        <w:rPr>
          <w:rFonts w:ascii="Liberation Serif" w:hAnsi="Liberation Serif" w:eastAsia="Liberation Serif"/>
          <w:b w:val="0"/>
          <w:i/>
          <w:color w:val="555555"/>
          <w:sz w:val="20"/>
        </w:rPr>
        <w:t xml:space="preserve">system. Data classification governs what can be stored, retrieved, and escalated. The masking layer operates at both ingest </w:t>
      </w:r>
      <w:r>
        <w:rPr>
          <w:rFonts w:ascii="Liberation Serif" w:hAnsi="Liberation Serif" w:eastAsia="Liberation Serif"/>
          <w:b w:val="0"/>
          <w:i/>
          <w:color w:val="555555"/>
          <w:sz w:val="20"/>
        </w:rPr>
        <w:t xml:space="preserve">time and runtime. The audit log is immutable. The IRB ethics gate runs on every human-subject workflow. If either the </w:t>
      </w:r>
      <w:r>
        <w:rPr>
          <w:rFonts w:ascii="Liberation Serif" w:hAnsi="Liberation Serif" w:eastAsia="Liberation Serif"/>
          <w:b w:val="0"/>
          <w:i/>
          <w:color w:val="555555"/>
          <w:sz w:val="20"/>
        </w:rPr>
        <w:t>masking layer or IRB gate fails, the system fails closed — never open.</w:t>
      </w:r>
    </w:p>
    <w:p>
      <w:pPr>
        <w:autoSpaceDN w:val="0"/>
        <w:autoSpaceDE w:val="0"/>
        <w:widowControl/>
        <w:spacing w:line="230" w:lineRule="auto" w:before="358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PDPA Data Classification Model</w:t>
      </w:r>
    </w:p>
    <w:p>
      <w:pPr>
        <w:autoSpaceDN w:val="0"/>
        <w:autoSpaceDE w:val="0"/>
        <w:widowControl/>
        <w:spacing w:line="233" w:lineRule="auto" w:before="304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26 PDPA Data Classification Levels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76"/>
        <w:gridCol w:w="2476"/>
        <w:gridCol w:w="2476"/>
        <w:gridCol w:w="2476"/>
      </w:tblGrid>
      <w:tr>
        <w:trPr>
          <w:trHeight w:hRule="exact" w:val="442"/>
        </w:trPr>
        <w:tc>
          <w:tcPr>
            <w:tcW w:type="dxa" w:w="1138"/>
            <w:tcBorders>
              <w:top w:sz="12.0" w:val="single" w:color="#333333"/>
              <w:bottom w:sz="6.3999999999998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Level</w:t>
            </w:r>
          </w:p>
        </w:tc>
        <w:tc>
          <w:tcPr>
            <w:tcW w:type="dxa" w:w="4960"/>
            <w:tcBorders>
              <w:top w:sz="12.0" w:val="single" w:color="#333333"/>
              <w:bottom w:sz="6.3999999999998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44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Data Examples</w:t>
            </w:r>
          </w:p>
        </w:tc>
        <w:tc>
          <w:tcPr>
            <w:tcW w:type="dxa" w:w="1820"/>
            <w:tcBorders>
              <w:top w:sz="12.0" w:val="single" w:color="#333333"/>
              <w:bottom w:sz="6.3999999999998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Cloud Escalation</w:t>
            </w:r>
          </w:p>
        </w:tc>
        <w:tc>
          <w:tcPr>
            <w:tcW w:type="dxa" w:w="1968"/>
            <w:tcBorders>
              <w:top w:sz="12.0" w:val="single" w:color="#333333"/>
              <w:bottom w:sz="6.39999999999986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274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Retention</w:t>
            </w:r>
          </w:p>
        </w:tc>
      </w:tr>
      <w:tr>
        <w:trPr>
          <w:trHeight w:hRule="exact" w:val="330"/>
        </w:trPr>
        <w:tc>
          <w:tcPr>
            <w:tcW w:type="dxa" w:w="1138"/>
            <w:tcBorders>
              <w:top w:sz="6.39999999999986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PUBLIC</w:t>
            </w:r>
          </w:p>
        </w:tc>
        <w:tc>
          <w:tcPr>
            <w:tcW w:type="dxa" w:w="4960"/>
            <w:tcBorders>
              <w:top w:sz="6.39999999999986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4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Published research papers; anonymised aggregate statistics;</w:t>
            </w:r>
          </w:p>
        </w:tc>
        <w:tc>
          <w:tcPr>
            <w:tcW w:type="dxa" w:w="1820"/>
            <w:tcBorders>
              <w:top w:sz="6.39999999999986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25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PERMITTED</w:t>
            </w:r>
          </w:p>
        </w:tc>
        <w:tc>
          <w:tcPr>
            <w:tcW w:type="dxa" w:w="1968"/>
            <w:tcBorders>
              <w:top w:sz="6.39999999999986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27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Indefinite</w:t>
            </w:r>
          </w:p>
        </w:tc>
      </w:tr>
    </w:tbl>
    <w:p>
      <w:pPr>
        <w:autoSpaceDN w:val="0"/>
        <w:autoSpaceDE w:val="0"/>
        <w:widowControl/>
        <w:spacing w:line="230" w:lineRule="auto" w:before="12" w:after="146"/>
        <w:ind w:left="157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open datasets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76"/>
        <w:gridCol w:w="2476"/>
        <w:gridCol w:w="2476"/>
        <w:gridCol w:w="2476"/>
      </w:tblGrid>
      <w:tr>
        <w:trPr>
          <w:trHeight w:hRule="exact" w:val="282"/>
        </w:trPr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INTERNAL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 aggregate summaries, non-PII project data,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3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PERMITTED</w:t>
            </w:r>
          </w:p>
        </w:tc>
        <w:tc>
          <w:tcPr>
            <w:tcW w:type="dxa" w:w="2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9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7 years (institutional</w:t>
            </w:r>
          </w:p>
        </w:tc>
      </w:tr>
      <w:tr>
        <w:trPr>
          <w:trHeight w:hRule="exact" w:val="338"/>
        </w:trPr>
        <w:tc>
          <w:tcPr>
            <w:tcW w:type="dxa" w:w="14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CONFIDENTIAL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publication metadata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23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(anonymised)</w:t>
            </w:r>
          </w:p>
        </w:tc>
        <w:tc>
          <w:tcPr>
            <w:tcW w:type="dxa" w:w="2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39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policy)</w:t>
            </w:r>
          </w:p>
        </w:tc>
      </w:tr>
      <w:tr>
        <w:trPr>
          <w:trHeight w:hRule="exact" w:val="322"/>
        </w:trPr>
        <w:tc>
          <w:tcPr>
            <w:tcW w:type="dxa" w:w="2476"/>
            <w:vMerge/>
            <w:tcBorders/>
          </w:tcPr>
          <w:p/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Individual researcher profiles, grant application details, pre-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23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PROHIBITED</w:t>
            </w:r>
          </w:p>
        </w:tc>
        <w:tc>
          <w:tcPr>
            <w:tcW w:type="dxa" w:w="2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39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7 years (institutional</w:t>
            </w:r>
          </w:p>
        </w:tc>
      </w:tr>
      <w:tr>
        <w:trPr>
          <w:trHeight w:hRule="exact" w:val="332"/>
        </w:trPr>
        <w:tc>
          <w:tcPr>
            <w:tcW w:type="dxa" w:w="1478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RESTRICTED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publication manuscripts</w:t>
            </w:r>
          </w:p>
        </w:tc>
        <w:tc>
          <w:tcPr>
            <w:tcW w:type="dxa" w:w="1680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6" w:after="0"/>
              <w:ind w:left="23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PROHIBITED</w:t>
            </w:r>
          </w:p>
        </w:tc>
        <w:tc>
          <w:tcPr>
            <w:tcW w:type="dxa" w:w="2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39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policy)</w:t>
            </w:r>
          </w:p>
        </w:tc>
      </w:tr>
      <w:tr>
        <w:trPr>
          <w:trHeight w:hRule="exact" w:val="328"/>
        </w:trPr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Participant identification numbers, interview transcripts,</w:t>
            </w:r>
          </w:p>
        </w:tc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2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10 years (PDPA +</w:t>
            </w:r>
          </w:p>
        </w:tc>
      </w:tr>
      <w:tr>
        <w:trPr>
          <w:trHeight w:hRule="exact" w:val="362"/>
        </w:trPr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464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clinical data, IRB investigation records</w:t>
            </w:r>
          </w:p>
        </w:tc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208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39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IRB)</w:t>
            </w:r>
          </w:p>
        </w:tc>
      </w:tr>
    </w:tbl>
    <w:p>
      <w:pPr>
        <w:autoSpaceDN w:val="0"/>
        <w:autoSpaceDE w:val="0"/>
        <w:widowControl/>
        <w:spacing w:line="230" w:lineRule="auto" w:before="34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IRB Research Ethics Controls</w:t>
      </w:r>
    </w:p>
    <w:p>
      <w:pPr>
        <w:autoSpaceDN w:val="0"/>
        <w:autoSpaceDE w:val="0"/>
        <w:widowControl/>
        <w:spacing w:line="230" w:lineRule="auto" w:before="290" w:after="152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27 IRB Ethics Integration Points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460"/>
        </w:trPr>
        <w:tc>
          <w:tcPr>
            <w:tcW w:type="dxa" w:w="1418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Control Point</w:t>
            </w:r>
          </w:p>
        </w:tc>
        <w:tc>
          <w:tcPr>
            <w:tcW w:type="dxa" w:w="6200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Implementation</w:t>
            </w:r>
          </w:p>
        </w:tc>
        <w:tc>
          <w:tcPr>
            <w:tcW w:type="dxa" w:w="2268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7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Trigger</w:t>
            </w:r>
          </w:p>
        </w:tc>
      </w:tr>
      <w:tr>
        <w:trPr>
          <w:trHeight w:hRule="exact" w:val="322"/>
        </w:trPr>
        <w:tc>
          <w:tcPr>
            <w:tcW w:type="dxa" w:w="141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Pre-screen</w:t>
            </w:r>
          </w:p>
        </w:tc>
        <w:tc>
          <w:tcPr>
            <w:tcW w:type="dxa" w:w="6200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Fine-tuned Qwen3.6 classifier assesses research query for human-subject</w:t>
            </w:r>
          </w:p>
        </w:tc>
        <w:tc>
          <w:tcPr>
            <w:tcW w:type="dxa" w:w="226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Every query before routing</w:t>
            </w:r>
          </w:p>
        </w:tc>
      </w:tr>
      <w:tr>
        <w:trPr>
          <w:trHeight w:hRule="exact" w:val="332"/>
        </w:trPr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classifier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indicators: participant data, interviews, surveys, clinical records</w:t>
            </w:r>
          </w:p>
        </w:tc>
        <w:tc>
          <w:tcPr>
            <w:tcW w:type="dxa" w:w="22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6" w:after="0"/>
              <w:ind w:left="17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When human-subject</w:t>
            </w:r>
          </w:p>
        </w:tc>
      </w:tr>
      <w:tr>
        <w:trPr>
          <w:trHeight w:hRule="exact" w:val="328"/>
        </w:trPr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Protocol matcher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Deterministic matcher cross-references query against approved IRB protocols in</w:t>
            </w:r>
          </w:p>
        </w:tc>
        <w:tc>
          <w:tcPr>
            <w:tcW w:type="dxa" w:w="3302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14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Ethics gate node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database</w:t>
            </w:r>
          </w:p>
        </w:tc>
        <w:tc>
          <w:tcPr>
            <w:tcW w:type="dxa" w:w="2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7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indicators detected</w:t>
            </w:r>
          </w:p>
        </w:tc>
      </w:tr>
      <w:tr>
        <w:trPr>
          <w:trHeight w:hRule="exact" w:val="308"/>
        </w:trPr>
        <w:tc>
          <w:tcPr>
            <w:tcW w:type="dxa" w:w="3302"/>
            <w:vMerge/>
            <w:tcBorders/>
          </w:tcPr>
          <w:p/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LangGraph hard stop: workflow pauses; human reviewer notified via Admin</w:t>
            </w:r>
          </w:p>
        </w:tc>
        <w:tc>
          <w:tcPr>
            <w:tcW w:type="dxa" w:w="2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7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Unmatched or expired</w:t>
            </w:r>
          </w:p>
        </w:tc>
      </w:tr>
      <w:tr>
        <w:trPr>
          <w:trHeight w:hRule="exact" w:val="344"/>
        </w:trPr>
        <w:tc>
          <w:tcPr>
            <w:tcW w:type="dxa" w:w="14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Post-hoc audit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Console; approval required to continue</w:t>
            </w:r>
          </w:p>
        </w:tc>
        <w:tc>
          <w:tcPr>
            <w:tcW w:type="dxa" w:w="2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7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protocol</w:t>
            </w:r>
          </w:p>
        </w:tc>
      </w:tr>
      <w:tr>
        <w:trPr>
          <w:trHeight w:hRule="exact" w:val="316"/>
        </w:trPr>
        <w:tc>
          <w:tcPr>
            <w:tcW w:type="dxa" w:w="3302"/>
            <w:vMerge/>
            <w:tcBorders/>
          </w:tcPr>
          <w:p/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Random 10% sample of all agent workflows reviewed weekly by IRB officer; full</w:t>
            </w:r>
          </w:p>
        </w:tc>
        <w:tc>
          <w:tcPr>
            <w:tcW w:type="dxa" w:w="2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7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Scheduled weekly</w:t>
            </w:r>
          </w:p>
        </w:tc>
      </w:tr>
      <w:tr>
        <w:trPr>
          <w:trHeight w:hRule="exact" w:val="348"/>
        </w:trPr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sampler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trace provided</w:t>
            </w:r>
          </w:p>
        </w:tc>
        <w:tc>
          <w:tcPr>
            <w:tcW w:type="dxa" w:w="22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50" w:after="0"/>
              <w:ind w:left="17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On IRB officer demand</w:t>
            </w:r>
          </w:p>
        </w:tc>
      </w:tr>
      <w:tr>
        <w:trPr>
          <w:trHeight w:hRule="exact" w:val="330"/>
        </w:trPr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Emergency stop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One-click kill switch in Admin Console: immediately blocks all human-subject</w:t>
            </w:r>
          </w:p>
        </w:tc>
        <w:tc>
          <w:tcPr>
            <w:tcW w:type="dxa" w:w="330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12" w:after="0"/>
        <w:ind w:left="153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workflows; preserves audit trail</w:t>
      </w:r>
    </w:p>
    <w:p>
      <w:pPr>
        <w:autoSpaceDN w:val="0"/>
        <w:autoSpaceDE w:val="0"/>
        <w:widowControl/>
        <w:spacing w:line="230" w:lineRule="auto" w:before="468" w:after="84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Network Perimeter Controls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52"/>
        <w:gridCol w:w="4952"/>
      </w:tblGrid>
      <w:tr>
        <w:trPr>
          <w:trHeight w:hRule="exact" w:val="418"/>
        </w:trPr>
        <w:tc>
          <w:tcPr>
            <w:tcW w:type="dxa" w:w="158"/>
            <w:tcBorders>
              <w:top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28"/>
            <w:tcBorders>
              <w:top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9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21"/>
              </w:rPr>
              <w:t>The EXO cluster, AI read replica, MinIO, Redis, and LangFuse instance are on the UPSI intranet and accept</w:t>
            </w:r>
          </w:p>
        </w:tc>
      </w:tr>
    </w:tbl>
    <w:p>
      <w:pPr>
        <w:autoSpaceDN w:val="0"/>
        <w:autoSpaceDE w:val="0"/>
        <w:widowControl/>
        <w:spacing w:line="233" w:lineRule="auto" w:before="24" w:after="0"/>
        <w:ind w:left="25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connections only from the AI gateway subnet.</w:t>
      </w:r>
    </w:p>
    <w:p>
      <w:pPr>
        <w:autoSpaceDN w:val="0"/>
        <w:tabs>
          <w:tab w:pos="252" w:val="left"/>
        </w:tabs>
        <w:autoSpaceDE w:val="0"/>
        <w:widowControl/>
        <w:spacing w:line="240" w:lineRule="auto" w:before="112" w:after="0"/>
        <w:ind w:left="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Edge DGX Spark nodes are on isolated faculty VLANs with firewall rules permitting only gateway-subnet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outbound connections.</w:t>
      </w:r>
    </w:p>
    <w:p>
      <w:pPr>
        <w:autoSpaceDN w:val="0"/>
        <w:tabs>
          <w:tab w:pos="252" w:val="left"/>
        </w:tabs>
        <w:autoSpaceDE w:val="0"/>
        <w:widowControl/>
        <w:spacing w:line="240" w:lineRule="auto" w:before="114" w:after="0"/>
        <w:ind w:left="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The FastAPI AI gateway is accessible from the UPSI campus network and VPN only — it is not internet-facing.</w:t>
      </w:r>
    </w:p>
    <w:p>
      <w:pPr>
        <w:autoSpaceDN w:val="0"/>
        <w:tabs>
          <w:tab w:pos="252" w:val="left"/>
        </w:tabs>
        <w:autoSpaceDE w:val="0"/>
        <w:widowControl/>
        <w:spacing w:line="240" w:lineRule="auto" w:before="112" w:after="0"/>
        <w:ind w:left="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The only permitted outbound internet connection is HTTPS to api.anthropic.com from the quality router, and only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when escalation is triggered AND data classification permits AND no human-subject indicators detected.</w:t>
      </w:r>
    </w:p>
    <w:p>
      <w:pPr>
        <w:autoSpaceDN w:val="0"/>
        <w:autoSpaceDE w:val="0"/>
        <w:widowControl/>
        <w:spacing w:line="233" w:lineRule="auto" w:before="562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31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Security &amp; Compliance</w:t>
      </w:r>
    </w:p>
    <w:p>
      <w:pPr>
        <w:autoSpaceDN w:val="0"/>
        <w:tabs>
          <w:tab w:pos="252" w:val="left"/>
        </w:tabs>
        <w:autoSpaceDE w:val="0"/>
        <w:widowControl/>
        <w:spacing w:line="240" w:lineRule="auto" w:before="514" w:after="0"/>
        <w:ind w:left="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All intra-service communication uses TLS 1.3. No plaintext HTTP on internal segments.</w:t>
      </w:r>
    </w:p>
    <w:p>
      <w:pPr>
        <w:autoSpaceDN w:val="0"/>
        <w:tabs>
          <w:tab w:pos="252" w:val="left"/>
        </w:tabs>
        <w:autoSpaceDE w:val="0"/>
        <w:widowControl/>
        <w:spacing w:line="240" w:lineRule="auto" w:before="112" w:after="0"/>
        <w:ind w:left="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The production PostgreSQL network group explicitly allows inbound connections from the replication source IP</w:t>
      </w:r>
    </w:p>
    <w:p>
      <w:pPr>
        <w:autoSpaceDN w:val="0"/>
        <w:autoSpaceDE w:val="0"/>
        <w:widowControl/>
        <w:spacing w:line="233" w:lineRule="auto" w:before="66" w:after="0"/>
        <w:ind w:left="25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only.</w:t>
      </w:r>
    </w:p>
    <w:p>
      <w:pPr>
        <w:autoSpaceDN w:val="0"/>
        <w:autoSpaceDE w:val="0"/>
        <w:widowControl/>
        <w:spacing w:line="230" w:lineRule="auto" w:before="37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Mandatory Audit Log Events</w:t>
      </w:r>
    </w:p>
    <w:p>
      <w:pPr>
        <w:autoSpaceDN w:val="0"/>
        <w:autoSpaceDE w:val="0"/>
        <w:widowControl/>
        <w:spacing w:line="240" w:lineRule="auto" w:before="22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The </w:t>
      </w:r>
      <w:r>
        <w:rPr>
          <w:shd w:val="clear" w:color="auto" w:fill="f5f5f5"/>
          <w:rFonts w:ascii="Noto Sans Mono" w:hAnsi="Noto Sans Mono" w:eastAsia="Noto Sans Mono"/>
          <w:b w:val="0"/>
          <w:i w:val="0"/>
          <w:color w:val="333333"/>
          <w:sz w:val="19"/>
        </w:rPr>
        <w:t>ai_audit_log</w:t>
      </w:r>
      <w:r>
        <w:rPr>
          <w:shd w:val="clear" w:color="auto" w:fill="f5f5f5"/>
          <w:rFonts w:ascii="Liberation Serif" w:hAnsi="Liberation Serif" w:eastAsia="Liberation Serif"/>
          <w:b w:val="0"/>
          <w:i w:val="0"/>
          <w:color w:val="333333"/>
          <w:sz w:val="21"/>
        </w:rPr>
        <w:t xml:space="preserve"> </w:t>
      </w: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 xml:space="preserve"> table is immutable append-only (enforced by PostgreSQL trigger). Retention is non-</w:t>
      </w:r>
    </w:p>
    <w:p>
      <w:pPr>
        <w:autoSpaceDN w:val="0"/>
        <w:autoSpaceDE w:val="0"/>
        <w:widowControl/>
        <w:spacing w:line="230" w:lineRule="auto" w:before="6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21"/>
        </w:rPr>
        <w:t>negotiable.</w:t>
      </w:r>
    </w:p>
    <w:p>
      <w:pPr>
        <w:autoSpaceDN w:val="0"/>
        <w:autoSpaceDE w:val="0"/>
        <w:widowControl/>
        <w:spacing w:line="233" w:lineRule="auto" w:before="250" w:after="154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28 Audit Log Events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458"/>
        </w:trPr>
        <w:tc>
          <w:tcPr>
            <w:tcW w:type="dxa" w:w="2178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Event</w:t>
            </w:r>
          </w:p>
        </w:tc>
        <w:tc>
          <w:tcPr>
            <w:tcW w:type="dxa" w:w="1540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66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Retention</w:t>
            </w:r>
          </w:p>
        </w:tc>
        <w:tc>
          <w:tcPr>
            <w:tcW w:type="dxa" w:w="6168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04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Key Fields</w:t>
            </w:r>
          </w:p>
        </w:tc>
      </w:tr>
      <w:tr>
        <w:trPr>
          <w:trHeight w:hRule="exact" w:val="322"/>
        </w:trPr>
        <w:tc>
          <w:tcPr>
            <w:tcW w:type="dxa" w:w="2178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AI query submitted</w:t>
            </w:r>
          </w:p>
        </w:tc>
        <w:tc>
          <w:tcPr>
            <w:tcW w:type="dxa" w:w="1540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30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7 years</w:t>
            </w:r>
          </w:p>
        </w:tc>
        <w:tc>
          <w:tcPr>
            <w:tcW w:type="dxa" w:w="6168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10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user_id_hash, role, query_hash, routing_label, model, confidence, escalated,</w:t>
            </w:r>
          </w:p>
        </w:tc>
      </w:tr>
    </w:tbl>
    <w:p>
      <w:pPr>
        <w:autoSpaceDN w:val="0"/>
        <w:autoSpaceDE w:val="0"/>
        <w:widowControl/>
        <w:spacing w:line="230" w:lineRule="auto" w:before="20" w:after="132"/>
        <w:ind w:left="0" w:right="526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latency_ms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86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SQL statement generated and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0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7 years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0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query_id, sql_hash, tables_referenced, execution_time_ms, rows_returned</w:t>
            </w:r>
          </w:p>
        </w:tc>
      </w:tr>
    </w:tbl>
    <w:p>
      <w:pPr>
        <w:autoSpaceDN w:val="0"/>
        <w:autoSpaceDE w:val="0"/>
        <w:widowControl/>
        <w:spacing w:line="230" w:lineRule="auto" w:before="28" w:after="146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executed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8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Agent swarm invoked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0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7 years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0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swarm_id, agent_list, task_decomposition, consensus_method,</w:t>
            </w:r>
          </w:p>
        </w:tc>
      </w:tr>
    </w:tbl>
    <w:p>
      <w:pPr>
        <w:autoSpaceDN w:val="0"/>
        <w:autoSpaceDE w:val="0"/>
        <w:widowControl/>
        <w:spacing w:line="230" w:lineRule="auto" w:before="28" w:after="146"/>
        <w:ind w:left="0" w:right="467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execution_time_ms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344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Escalation to Anthropic API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4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7 years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query_id, classification_check_pass, anonymization_method, escalation_reason</w:t>
            </w:r>
          </w:p>
        </w:tc>
      </w:tr>
      <w:tr>
        <w:trPr>
          <w:trHeight w:hRule="exact" w:val="40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PDPA PII detection event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0" w:right="15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10 years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6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query_id, entity_types_detected, masking_applied, direction (input/output)</w:t>
            </w:r>
          </w:p>
        </w:tc>
      </w:tr>
      <w:tr>
        <w:trPr>
          <w:trHeight w:hRule="exact" w:val="40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IRB ethics gate event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15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10 years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query_id, risk_classification, protocol_matched, gate_decision, reviewer_id_hash</w:t>
            </w:r>
          </w:p>
        </w:tc>
      </w:tr>
      <w:tr>
        <w:trPr>
          <w:trHeight w:hRule="exact" w:val="33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Document ingested / lifecycle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24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7 years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16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document_id, file_hash, docling_confidence, new_state, actor_user_hash</w:t>
            </w:r>
          </w:p>
        </w:tc>
      </w:tr>
    </w:tbl>
    <w:p>
      <w:pPr>
        <w:autoSpaceDN w:val="0"/>
        <w:autoSpaceDE w:val="0"/>
        <w:widowControl/>
        <w:spacing w:line="230" w:lineRule="auto" w:before="28" w:after="146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changed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336"/>
        </w:trPr>
        <w:tc>
          <w:tcPr>
            <w:tcW w:type="dxa" w:w="2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Routing configuration changed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0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7 years</w:t>
            </w:r>
          </w:p>
        </w:tc>
        <w:tc>
          <w:tcPr>
            <w:tcW w:type="dxa" w:w="6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0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changed_by_user_hash, old_config_hash, new_config_hash, timestamp</w:t>
            </w:r>
          </w:p>
        </w:tc>
      </w:tr>
      <w:tr>
        <w:trPr>
          <w:trHeight w:hRule="exact" w:val="442"/>
        </w:trPr>
        <w:tc>
          <w:tcPr>
            <w:tcW w:type="dxa" w:w="259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Failed authentication attempt</w:t>
            </w:r>
          </w:p>
        </w:tc>
        <w:tc>
          <w:tcPr>
            <w:tcW w:type="dxa" w:w="102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20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3 years</w:t>
            </w:r>
          </w:p>
        </w:tc>
        <w:tc>
          <w:tcPr>
            <w:tcW w:type="dxa" w:w="626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20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source_ip_hash, attempted_role, failure_reason, timestamp</w:t>
            </w:r>
          </w:p>
        </w:tc>
      </w:tr>
    </w:tbl>
    <w:p>
      <w:pPr>
        <w:autoSpaceDN w:val="0"/>
        <w:autoSpaceDE w:val="0"/>
        <w:widowControl/>
        <w:spacing w:line="233" w:lineRule="auto" w:before="7022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32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Delivery Roadmap &amp; Success Metrics</w:t>
      </w:r>
    </w:p>
    <w:p>
      <w:pPr>
        <w:autoSpaceDN w:val="0"/>
        <w:autoSpaceDE w:val="0"/>
        <w:widowControl/>
        <w:spacing w:line="230" w:lineRule="auto" w:before="54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36"/>
        </w:rPr>
        <w:t>Delivery Roadmap &amp; Success Metrics</w:t>
      </w:r>
    </w:p>
    <w:p>
      <w:pPr>
        <w:autoSpaceDN w:val="0"/>
        <w:autoSpaceDE w:val="0"/>
        <w:widowControl/>
        <w:spacing w:line="230" w:lineRule="auto" w:before="43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Twelve months, four phases, ten priority Agentic Engineering tasks, and eight measurable success metrics. Every phase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ends with a gate — no phase begins until the previous gate is passed. The golden evaluation set is the single most</w:t>
      </w:r>
    </w:p>
    <w:p>
      <w:pPr>
        <w:autoSpaceDN w:val="0"/>
        <w:autoSpaceDE w:val="0"/>
        <w:widowControl/>
        <w:spacing w:line="230" w:lineRule="auto" w:before="78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important quality artifact: it governs every model, prompt, retrieval, and agent workflow change that reaches production.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62650" cy="244221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442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08" w:after="0"/>
        <w:ind w:left="0" w:right="0" w:firstLine="0"/>
        <w:jc w:val="center"/>
      </w:pPr>
      <w:r>
        <w:rPr>
          <w:rFonts w:ascii="Liberation Serif" w:hAnsi="Liberation Serif" w:eastAsia="Liberation Serif"/>
          <w:b/>
          <w:i w:val="0"/>
          <w:color w:val="666666"/>
          <w:sz w:val="17"/>
        </w:rPr>
        <w:t xml:space="preserve">Figure 5 </w:t>
      </w:r>
      <w:r>
        <w:rPr>
          <w:rFonts w:ascii="Liberation Serif" w:hAnsi="Liberation Serif" w:eastAsia="Liberation Serif"/>
          <w:b w:val="0"/>
          <w:i/>
          <w:color w:val="666666"/>
          <w:sz w:val="17"/>
        </w:rPr>
        <w:t>12-month delivery roadmap. Phase gates represent exit criteria that must be satisfied before the next phase begins. Phases run</w:t>
      </w:r>
    </w:p>
    <w:p>
      <w:pPr>
        <w:autoSpaceDN w:val="0"/>
        <w:autoSpaceDE w:val="0"/>
        <w:widowControl/>
        <w:spacing w:line="230" w:lineRule="auto" w:before="68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666666"/>
          <w:sz w:val="17"/>
        </w:rPr>
        <w:t>sequentially.</w:t>
      </w:r>
    </w:p>
    <w:p>
      <w:pPr>
        <w:autoSpaceDN w:val="0"/>
        <w:autoSpaceDE w:val="0"/>
        <w:widowControl/>
        <w:spacing w:line="230" w:lineRule="auto" w:before="350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Phase Gates — Exit Criteria</w:t>
      </w:r>
    </w:p>
    <w:p>
      <w:pPr>
        <w:autoSpaceDN w:val="0"/>
        <w:autoSpaceDE w:val="0"/>
        <w:widowControl/>
        <w:spacing w:line="233" w:lineRule="auto" w:before="304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29 Phase Gate Exit Criteria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324"/>
        </w:trPr>
        <w:tc>
          <w:tcPr>
            <w:tcW w:type="dxa" w:w="618"/>
            <w:vMerge w:val="restart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Phase</w:t>
            </w:r>
          </w:p>
        </w:tc>
        <w:tc>
          <w:tcPr>
            <w:tcW w:type="dxa" w:w="820"/>
            <w:tcBorders>
              <w:top w:sz="12.0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8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End</w:t>
            </w:r>
          </w:p>
        </w:tc>
        <w:tc>
          <w:tcPr>
            <w:tcW w:type="dxa" w:w="8448"/>
            <w:vMerge w:val="restart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8" w:after="0"/>
              <w:ind w:left="14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Exit Gate — All Must Pass Before Next Phase Begins</w:t>
            </w:r>
          </w:p>
        </w:tc>
      </w:tr>
      <w:tr>
        <w:trPr>
          <w:trHeight w:hRule="exact" w:val="388"/>
        </w:trPr>
        <w:tc>
          <w:tcPr>
            <w:tcW w:type="dxa" w:w="3302"/>
            <w:vMerge/>
            <w:tcBorders>
              <w:top w:sz="12.0" w:val="single" w:color="#333333"/>
              <w:bottom w:sz="6.400000000000091" w:val="single" w:color="#333333"/>
            </w:tcBorders>
          </w:tcPr>
          <w:p/>
        </w:tc>
        <w:tc>
          <w:tcPr>
            <w:tcW w:type="dxa" w:w="820"/>
            <w:tcBorders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8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Month</w:t>
            </w:r>
          </w:p>
        </w:tc>
        <w:tc>
          <w:tcPr>
            <w:tcW w:type="dxa" w:w="3302"/>
            <w:vMerge/>
            <w:tcBorders>
              <w:top w:sz="12.0" w:val="single" w:color="#333333"/>
              <w:bottom w:sz="6.400000000000091" w:val="single" w:color="#333333"/>
            </w:tcBorders>
          </w:tcPr>
          <w:p/>
        </w:tc>
      </w:tr>
      <w:tr>
        <w:trPr>
          <w:trHeight w:hRule="exact" w:val="324"/>
        </w:trPr>
        <w:tc>
          <w:tcPr>
            <w:tcW w:type="dxa" w:w="61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0</w:t>
            </w:r>
          </w:p>
        </w:tc>
        <w:tc>
          <w:tcPr>
            <w:tcW w:type="dxa" w:w="820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Month 2</w:t>
            </w:r>
          </w:p>
        </w:tc>
        <w:tc>
          <w:tcPr>
            <w:tcW w:type="dxa" w:w="844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SSO bridge validated; schema.yaml merged to main; FastAPI skeleton passing health checks; Phase 0 benchmark</w:t>
            </w:r>
          </w:p>
        </w:tc>
      </w:tr>
    </w:tbl>
    <w:p>
      <w:pPr>
        <w:autoSpaceDN w:val="0"/>
        <w:autoSpaceDE w:val="0"/>
        <w:widowControl/>
        <w:spacing w:line="230" w:lineRule="auto" w:before="18" w:after="130"/>
        <w:ind w:left="15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report accepted; IRB workflow prototype validated; golden set v0.1 at 50 entries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8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1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Month 6</w:t>
            </w:r>
          </w:p>
        </w:tc>
        <w:tc>
          <w:tcPr>
            <w:tcW w:type="dxa" w:w="8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Hybrid RAG live on staging; Text-to-SQL live; Docling processing ≥3 document types; Agent Registry deployed;</w:t>
            </w:r>
          </w:p>
        </w:tc>
      </w:tr>
    </w:tbl>
    <w:p>
      <w:pPr>
        <w:autoSpaceDN w:val="0"/>
        <w:autoSpaceDE w:val="0"/>
        <w:widowControl/>
        <w:spacing w:line="230" w:lineRule="auto" w:before="28" w:after="146"/>
        <w:ind w:left="15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Chat Workbench live; LangFuse tracing active; Month 6 success metrics gate passed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8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8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Month 10</w:t>
            </w:r>
          </w:p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All three LangGraph workflows live on staging; golden set at 200 entries; regression harness in CI pipeline; IRB</w:t>
            </w:r>
          </w:p>
        </w:tc>
      </w:tr>
    </w:tbl>
    <w:p>
      <w:pPr>
        <w:autoSpaceDN w:val="0"/>
        <w:autoSpaceDE w:val="0"/>
        <w:widowControl/>
        <w:spacing w:line="230" w:lineRule="auto" w:before="28" w:after="146"/>
        <w:ind w:left="15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Audit Dashboard deployed; Month 10 success metrics passed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8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86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Month 12</w:t>
            </w:r>
          </w:p>
        </w:tc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Full production rollout complete; 75% staff adoption rate achieved; Admin Console fully operational; consortium</w:t>
            </w:r>
          </w:p>
        </w:tc>
      </w:tr>
    </w:tbl>
    <w:p>
      <w:pPr>
        <w:autoSpaceDN w:val="0"/>
        <w:autoSpaceDE w:val="0"/>
        <w:widowControl/>
        <w:spacing w:line="230" w:lineRule="auto" w:before="2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API documented and tested; post-go-live monitoring active; Month 12 success metrics passed</w:t>
      </w:r>
    </w:p>
    <w:p>
      <w:pPr>
        <w:autoSpaceDN w:val="0"/>
        <w:autoSpaceDE w:val="0"/>
        <w:widowControl/>
        <w:spacing w:line="230" w:lineRule="auto" w:before="468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Agentic Engineering Priority Task Sequence</w:t>
      </w:r>
    </w:p>
    <w:p>
      <w:pPr>
        <w:autoSpaceDN w:val="0"/>
        <w:autoSpaceDE w:val="0"/>
        <w:widowControl/>
        <w:spacing w:line="230" w:lineRule="auto" w:before="290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30 10 Priority Agentic Engineering Tasks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76"/>
        <w:gridCol w:w="2476"/>
        <w:gridCol w:w="2476"/>
        <w:gridCol w:w="2476"/>
      </w:tblGrid>
      <w:tr>
        <w:trPr>
          <w:trHeight w:hRule="exact" w:val="342"/>
        </w:trPr>
        <w:tc>
          <w:tcPr>
            <w:tcW w:type="dxa" w:w="258"/>
            <w:vMerge w:val="restart"/>
            <w:tcBorders>
              <w:top w:sz="12.0" w:val="single" w:color="#333333"/>
              <w:bottom w:sz="5.599999999999454" w:val="single" w:color="#333333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#</w:t>
            </w:r>
          </w:p>
        </w:tc>
        <w:tc>
          <w:tcPr>
            <w:tcW w:type="dxa" w:w="7580"/>
            <w:vMerge w:val="restart"/>
            <w:tcBorders>
              <w:top w:sz="12.0" w:val="single" w:color="#333333"/>
              <w:bottom w:sz="5.599999999999454" w:val="single" w:color="#333333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8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Task</w:t>
            </w:r>
          </w:p>
        </w:tc>
        <w:tc>
          <w:tcPr>
            <w:tcW w:type="dxa" w:w="1240"/>
            <w:tcBorders>
              <w:top w:sz="12.0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1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Output</w:t>
            </w:r>
          </w:p>
        </w:tc>
        <w:tc>
          <w:tcPr>
            <w:tcW w:type="dxa" w:w="808"/>
            <w:vMerge w:val="restart"/>
            <w:tcBorders>
              <w:top w:sz="12.0" w:val="single" w:color="#333333"/>
              <w:bottom w:sz="5.599999999999454" w:val="single" w:color="#333333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Phase</w:t>
            </w:r>
          </w:p>
        </w:tc>
      </w:tr>
      <w:tr>
        <w:trPr>
          <w:trHeight w:hRule="exact" w:val="370"/>
        </w:trPr>
        <w:tc>
          <w:tcPr>
            <w:tcW w:type="dxa" w:w="2476"/>
            <w:vMerge/>
            <w:tcBorders>
              <w:top w:sz="12.0" w:val="single" w:color="#333333"/>
              <w:bottom w:sz="5.599999999999454" w:val="single" w:color="#333333"/>
            </w:tcBorders>
          </w:tcPr>
          <w:p/>
        </w:tc>
        <w:tc>
          <w:tcPr>
            <w:tcW w:type="dxa" w:w="2476"/>
            <w:vMerge/>
            <w:tcBorders>
              <w:top w:sz="12.0" w:val="single" w:color="#333333"/>
              <w:bottom w:sz="5.599999999999454" w:val="single" w:color="#333333"/>
            </w:tcBorders>
          </w:tcPr>
          <w:p/>
        </w:tc>
        <w:tc>
          <w:tcPr>
            <w:tcW w:type="dxa" w:w="1240"/>
            <w:tcBorders>
              <w:bottom w:sz="5.599999999999454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1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Artifact</w:t>
            </w:r>
          </w:p>
        </w:tc>
        <w:tc>
          <w:tcPr>
            <w:tcW w:type="dxa" w:w="2476"/>
            <w:vMerge/>
            <w:tcBorders>
              <w:top w:sz="12.0" w:val="single" w:color="#333333"/>
              <w:bottom w:sz="5.599999999999454" w:val="single" w:color="#333333"/>
            </w:tcBorders>
          </w:tcPr>
          <w:p/>
        </w:tc>
      </w:tr>
      <w:tr>
        <w:trPr>
          <w:trHeight w:hRule="exact" w:val="330"/>
        </w:trPr>
        <w:tc>
          <w:tcPr>
            <w:tcW w:type="dxa" w:w="258"/>
            <w:tcBorders>
              <w:top w:sz="5.59999999999945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7580"/>
            <w:tcBorders>
              <w:top w:sz="5.59999999999945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8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Reverse-engineer production PostgreSQL schema into schema.yaml with table descriptions, column</w:t>
            </w:r>
          </w:p>
        </w:tc>
        <w:tc>
          <w:tcPr>
            <w:tcW w:type="dxa" w:w="1240"/>
            <w:tcBorders>
              <w:top w:sz="5.59999999999945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schema.yaml</w:t>
            </w:r>
          </w:p>
        </w:tc>
        <w:tc>
          <w:tcPr>
            <w:tcW w:type="dxa" w:w="808"/>
            <w:tcBorders>
              <w:top w:sz="5.599999999999454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</w:t>
            </w:r>
          </w:p>
        </w:tc>
      </w:tr>
      <w:tr>
        <w:trPr>
          <w:trHeight w:hRule="exact" w:val="330"/>
        </w:trPr>
        <w:tc>
          <w:tcPr>
            <w:tcW w:type="dxa" w:w="258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8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semantics, join paths, and per-table PDPA classification labels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11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gateway/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51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0</w:t>
            </w:r>
          </w:p>
        </w:tc>
      </w:tr>
      <w:tr>
        <w:trPr>
          <w:trHeight w:hRule="exact" w:val="330"/>
        </w:trPr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Scaffold FastAPI AI gateway: versioned route structure, JWT validation middleware, RBAC injection,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</w:t>
            </w:r>
          </w:p>
        </w:tc>
      </w:tr>
      <w:tr>
        <w:trPr>
          <w:trHeight w:hRule="exact" w:val="356"/>
        </w:trPr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758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8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health endpoints, OpenAPI spec</w:t>
            </w:r>
          </w:p>
        </w:tc>
        <w:tc>
          <w:tcPr>
            <w:tcW w:type="dxa" w:w="124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1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skeleton</w:t>
            </w:r>
          </w:p>
        </w:tc>
        <w:tc>
          <w:tcPr>
            <w:tcW w:type="dxa" w:w="80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1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33" w:lineRule="auto" w:before="65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33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512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Delivery Roadmap &amp; Success Metrics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76"/>
        <w:gridCol w:w="2476"/>
        <w:gridCol w:w="2476"/>
        <w:gridCol w:w="2476"/>
      </w:tblGrid>
      <w:tr>
        <w:trPr>
          <w:trHeight w:hRule="exact" w:val="278"/>
        </w:trPr>
        <w:tc>
          <w:tcPr>
            <w:tcW w:type="dxa" w:w="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Scaffold LlamaIndex Hybrid RAG pipeline: query classifier, vector retrieval arm, re-ranking,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gateway/rag/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</w:t>
            </w:r>
          </w:p>
        </w:tc>
      </w:tr>
      <w:tr>
        <w:trPr>
          <w:trHeight w:hRule="exact" w:val="346"/>
        </w:trPr>
        <w:tc>
          <w:tcPr>
            <w:tcW w:type="dxa" w:w="3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citation assembly, pgvector connector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2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gateway/docling/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0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</w:t>
            </w:r>
          </w:p>
        </w:tc>
      </w:tr>
      <w:tr>
        <w:trPr>
          <w:trHeight w:hRule="exact" w:val="314"/>
        </w:trPr>
        <w:tc>
          <w:tcPr>
            <w:tcW w:type="dxa" w:w="2476"/>
            <w:vMerge/>
            <w:tcBorders/>
          </w:tcPr>
          <w:p/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Scaffold IBM Docling ingestion pipeline: upload handler, processing stages, PDPA masking,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</w:t>
            </w:r>
          </w:p>
        </w:tc>
      </w:tr>
      <w:tr>
        <w:trPr>
          <w:trHeight w:hRule="exact" w:val="342"/>
        </w:trPr>
        <w:tc>
          <w:tcPr>
            <w:tcW w:type="dxa" w:w="3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chunking, embedding, pgvector insert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4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gateway/sql/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0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</w:t>
            </w:r>
          </w:p>
        </w:tc>
      </w:tr>
      <w:tr>
        <w:trPr>
          <w:trHeight w:hRule="exact" w:val="318"/>
        </w:trPr>
        <w:tc>
          <w:tcPr>
            <w:tcW w:type="dxa" w:w="2476"/>
            <w:vMerge/>
            <w:tcBorders/>
          </w:tcPr>
          <w:p/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Build Text-to-SQL engine: schema.yaml loader, NL-to-SQL prompt chain, sqlglot sandbox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</w:t>
            </w:r>
          </w:p>
        </w:tc>
      </w:tr>
      <w:tr>
        <w:trPr>
          <w:trHeight w:hRule="exact" w:val="342"/>
        </w:trPr>
        <w:tc>
          <w:tcPr>
            <w:tcW w:type="dxa" w:w="3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validator, table allowlist enforcer, query logger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4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infra/replication/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10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</w:t>
            </w:r>
          </w:p>
        </w:tc>
      </w:tr>
      <w:tr>
        <w:trPr>
          <w:trHeight w:hRule="exact" w:val="318"/>
        </w:trPr>
        <w:tc>
          <w:tcPr>
            <w:tcW w:type="dxa" w:w="2476"/>
            <w:vMerge/>
            <w:tcBorders/>
          </w:tcPr>
          <w:p/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Configure Debezium CDC or pg_logical replication for production-to-AI-replica change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</w:t>
            </w:r>
          </w:p>
        </w:tc>
      </w:tr>
      <w:tr>
        <w:trPr>
          <w:trHeight w:hRule="exact" w:val="336"/>
        </w:trPr>
        <w:tc>
          <w:tcPr>
            <w:tcW w:type="dxa" w:w="3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7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streaming with startup validation script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0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All layers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10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</w:t>
            </w:r>
          </w:p>
        </w:tc>
      </w:tr>
      <w:tr>
        <w:trPr>
          <w:trHeight w:hRule="exact" w:val="324"/>
        </w:trPr>
        <w:tc>
          <w:tcPr>
            <w:tcW w:type="dxa" w:w="2476"/>
            <w:vMerge/>
            <w:tcBorders/>
          </w:tcPr>
          <w:p/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Instrument LangFuse tracing across all layers: gateway spans, RAG retrieval spans, LLM call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</w:t>
            </w:r>
          </w:p>
        </w:tc>
      </w:tr>
      <w:tr>
        <w:trPr>
          <w:trHeight w:hRule="exact" w:val="336"/>
        </w:trPr>
        <w:tc>
          <w:tcPr>
            <w:tcW w:type="dxa" w:w="3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8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spans, SQL execution spans, routing decision events, agent swarm spans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frontend/workbench/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0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</w:t>
            </w:r>
          </w:p>
        </w:tc>
      </w:tr>
      <w:tr>
        <w:trPr>
          <w:trHeight w:hRule="exact" w:val="324"/>
        </w:trPr>
        <w:tc>
          <w:tcPr>
            <w:tcW w:type="dxa" w:w="2476"/>
            <w:vMerge/>
            <w:tcBorders/>
          </w:tcPr>
          <w:p/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Build Vue 3 AI Workbench: SSE streaming client, confidence badge, citation chips, feedback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</w:t>
            </w:r>
          </w:p>
        </w:tc>
      </w:tr>
      <w:tr>
        <w:trPr>
          <w:trHeight w:hRule="exact" w:val="338"/>
        </w:trPr>
        <w:tc>
          <w:tcPr>
            <w:tcW w:type="dxa" w:w="3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9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controls, bilingual toggle, agent swarm composer, SSO mount bridge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gateway/agents/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0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</w:t>
            </w:r>
          </w:p>
        </w:tc>
      </w:tr>
      <w:tr>
        <w:trPr>
          <w:trHeight w:hRule="exact" w:val="322"/>
        </w:trPr>
        <w:tc>
          <w:tcPr>
            <w:tcW w:type="dxa" w:w="2476"/>
            <w:vMerge/>
            <w:tcBorders/>
          </w:tcPr>
          <w:p/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Build LangGraph swarm orchestration, experiment automation, and IRB compliance chains with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</w:t>
            </w:r>
          </w:p>
        </w:tc>
      </w:tr>
      <w:tr>
        <w:trPr>
          <w:trHeight w:hRule="exact" w:val="338"/>
        </w:trPr>
        <w:tc>
          <w:tcPr>
            <w:tcW w:type="dxa" w:w="338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10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Nemotron-3 Super tool-calling and step audit logging</w:t>
            </w:r>
          </w:p>
        </w:tc>
        <w:tc>
          <w:tcPr>
            <w:tcW w:type="dxa" w:w="1680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10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eval/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10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</w:t>
            </w:r>
          </w:p>
        </w:tc>
      </w:tr>
      <w:tr>
        <w:trPr>
          <w:trHeight w:hRule="exact" w:val="322"/>
        </w:trPr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Build regression evaluation harness: golden set JSONL runner, BERTScore evaluator, SQL</w:t>
            </w:r>
          </w:p>
        </w:tc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</w:t>
            </w:r>
          </w:p>
        </w:tc>
      </w:tr>
      <w:tr>
        <w:trPr>
          <w:trHeight w:hRule="exact" w:val="356"/>
        </w:trPr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718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correctness evaluator, swarm success evaluator, CI integration</w:t>
            </w:r>
          </w:p>
        </w:tc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68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0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30" w:lineRule="auto" w:before="34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Success Metrics by Milestone</w:t>
      </w:r>
    </w:p>
    <w:p>
      <w:pPr>
        <w:autoSpaceDN w:val="0"/>
        <w:autoSpaceDE w:val="0"/>
        <w:widowControl/>
        <w:spacing w:line="230" w:lineRule="auto" w:before="304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31 Success Metrics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1"/>
        <w:gridCol w:w="1981"/>
        <w:gridCol w:w="1981"/>
        <w:gridCol w:w="1981"/>
        <w:gridCol w:w="1981"/>
      </w:tblGrid>
      <w:tr>
        <w:trPr>
          <w:trHeight w:hRule="exact" w:val="442"/>
        </w:trPr>
        <w:tc>
          <w:tcPr>
            <w:tcW w:type="dxa" w:w="3118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Metric</w:t>
            </w:r>
          </w:p>
        </w:tc>
        <w:tc>
          <w:tcPr>
            <w:tcW w:type="dxa" w:w="1440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226" w:firstLine="0"/>
              <w:jc w:val="righ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Month 6</w:t>
            </w:r>
          </w:p>
        </w:tc>
        <w:tc>
          <w:tcPr>
            <w:tcW w:type="dxa" w:w="1200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Month 10</w:t>
            </w:r>
          </w:p>
        </w:tc>
        <w:tc>
          <w:tcPr>
            <w:tcW w:type="dxa" w:w="1240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Month 12</w:t>
            </w:r>
          </w:p>
        </w:tc>
        <w:tc>
          <w:tcPr>
            <w:tcW w:type="dxa" w:w="2888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25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Measurement</w:t>
            </w:r>
          </w:p>
        </w:tc>
      </w:tr>
      <w:tr>
        <w:trPr>
          <w:trHeight w:hRule="exact" w:val="390"/>
        </w:trPr>
        <w:tc>
          <w:tcPr>
            <w:tcW w:type="dxa" w:w="3118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Research-domain answer accuracy</w:t>
            </w:r>
          </w:p>
        </w:tc>
        <w:tc>
          <w:tcPr>
            <w:tcW w:type="dxa" w:w="1440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80%</w:t>
            </w:r>
          </w:p>
        </w:tc>
        <w:tc>
          <w:tcPr>
            <w:tcW w:type="dxa" w:w="1200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2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88%</w:t>
            </w:r>
          </w:p>
        </w:tc>
        <w:tc>
          <w:tcPr>
            <w:tcW w:type="dxa" w:w="1240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93%</w:t>
            </w:r>
          </w:p>
        </w:tc>
        <w:tc>
          <w:tcPr>
            <w:tcW w:type="dxa" w:w="2888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25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Golden set BERTScore</w:t>
            </w:r>
          </w:p>
        </w:tc>
      </w:tr>
      <w:tr>
        <w:trPr>
          <w:trHeight w:hRule="exact" w:val="400"/>
        </w:trPr>
        <w:tc>
          <w:tcPr>
            <w:tcW w:type="dxa" w:w="3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Text-to-SQL correctness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70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2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85%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92%</w:t>
            </w:r>
          </w:p>
        </w:tc>
        <w:tc>
          <w:tcPr>
            <w:tcW w:type="dxa" w:w="2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25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SQL result match</w:t>
            </w:r>
          </w:p>
        </w:tc>
      </w:tr>
      <w:tr>
        <w:trPr>
          <w:trHeight w:hRule="exact" w:val="400"/>
        </w:trPr>
        <w:tc>
          <w:tcPr>
            <w:tcW w:type="dxa" w:w="3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Docling extraction accuracy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90%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2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93%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95%</w:t>
            </w:r>
          </w:p>
        </w:tc>
        <w:tc>
          <w:tcPr>
            <w:tcW w:type="dxa" w:w="2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25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Human review sample</w:t>
            </w:r>
          </w:p>
        </w:tc>
      </w:tr>
      <w:tr>
        <w:trPr>
          <w:trHeight w:hRule="exact" w:val="400"/>
        </w:trPr>
        <w:tc>
          <w:tcPr>
            <w:tcW w:type="dxa" w:w="3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Swarm task success rate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70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2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80%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90%</w:t>
            </w:r>
          </w:p>
        </w:tc>
        <w:tc>
          <w:tcPr>
            <w:tcW w:type="dxa" w:w="2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25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LangFuse workflow trace</w:t>
            </w:r>
          </w:p>
        </w:tc>
      </w:tr>
      <w:tr>
        <w:trPr>
          <w:trHeight w:hRule="exact" w:val="400"/>
        </w:trPr>
        <w:tc>
          <w:tcPr>
            <w:tcW w:type="dxa" w:w="3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Average response latency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&lt; 4s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2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&lt; 3s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&lt; 2.5s</w:t>
            </w:r>
          </w:p>
        </w:tc>
        <w:tc>
          <w:tcPr>
            <w:tcW w:type="dxa" w:w="2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25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LangFuse p50</w:t>
            </w:r>
          </w:p>
        </w:tc>
      </w:tr>
      <w:tr>
        <w:trPr>
          <w:trHeight w:hRule="exact" w:val="380"/>
        </w:trPr>
        <w:tc>
          <w:tcPr>
            <w:tcW w:type="dxa" w:w="3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PDPA compliance score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46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100%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2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100%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100%</w:t>
            </w:r>
          </w:p>
        </w:tc>
        <w:tc>
          <w:tcPr>
            <w:tcW w:type="dxa" w:w="2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25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Audit log review</w:t>
            </w:r>
          </w:p>
        </w:tc>
      </w:tr>
      <w:tr>
        <w:trPr>
          <w:trHeight w:hRule="exact" w:val="400"/>
        </w:trPr>
        <w:tc>
          <w:tcPr>
            <w:tcW w:type="dxa" w:w="3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IRB gate accuracy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0" w:right="70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2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95%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98%</w:t>
            </w:r>
          </w:p>
        </w:tc>
        <w:tc>
          <w:tcPr>
            <w:tcW w:type="dxa" w:w="2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25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IRB officer review</w:t>
            </w:r>
          </w:p>
        </w:tc>
      </w:tr>
      <w:tr>
        <w:trPr>
          <w:trHeight w:hRule="exact" w:val="400"/>
        </w:trPr>
        <w:tc>
          <w:tcPr>
            <w:tcW w:type="dxa" w:w="3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Staff adoption rate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25%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2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55%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75%</w:t>
            </w:r>
          </w:p>
        </w:tc>
        <w:tc>
          <w:tcPr>
            <w:tcW w:type="dxa" w:w="2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25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Login + query volume</w:t>
            </w:r>
          </w:p>
        </w:tc>
      </w:tr>
      <w:tr>
        <w:trPr>
          <w:trHeight w:hRule="exact" w:val="400"/>
        </w:trPr>
        <w:tc>
          <w:tcPr>
            <w:tcW w:type="dxa" w:w="3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Anthropic escalation share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0" w:right="70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2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&lt; 8%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&lt; 5%</w:t>
            </w:r>
          </w:p>
        </w:tc>
        <w:tc>
          <w:tcPr>
            <w:tcW w:type="dxa" w:w="2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25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LangFuse routing log</w:t>
            </w:r>
          </w:p>
        </w:tc>
      </w:tr>
      <w:tr>
        <w:trPr>
          <w:trHeight w:hRule="exact" w:val="436"/>
        </w:trPr>
        <w:tc>
          <w:tcPr>
            <w:tcW w:type="dxa" w:w="311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Regression gate pass rate</w:t>
            </w:r>
          </w:p>
        </w:tc>
        <w:tc>
          <w:tcPr>
            <w:tcW w:type="dxa" w:w="144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462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100%</w:t>
            </w:r>
          </w:p>
        </w:tc>
        <w:tc>
          <w:tcPr>
            <w:tcW w:type="dxa" w:w="120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2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100%</w:t>
            </w:r>
          </w:p>
        </w:tc>
        <w:tc>
          <w:tcPr>
            <w:tcW w:type="dxa" w:w="124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2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100%</w:t>
            </w:r>
          </w:p>
        </w:tc>
        <w:tc>
          <w:tcPr>
            <w:tcW w:type="dxa" w:w="288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25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CI pipeline results</w:t>
            </w:r>
          </w:p>
        </w:tc>
      </w:tr>
    </w:tbl>
    <w:p>
      <w:pPr>
        <w:autoSpaceDN w:val="0"/>
        <w:autoSpaceDE w:val="0"/>
        <w:widowControl/>
        <w:spacing w:line="233" w:lineRule="auto" w:before="403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34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Risk Register</w:t>
      </w:r>
    </w:p>
    <w:p>
      <w:pPr>
        <w:autoSpaceDN w:val="0"/>
        <w:autoSpaceDE w:val="0"/>
        <w:widowControl/>
        <w:spacing w:line="394" w:lineRule="auto" w:before="54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36"/>
        </w:rPr>
        <w:t xml:space="preserve">Risk Register </w:t>
      </w:r>
      <w:r>
        <w:br/>
      </w:r>
      <w:r>
        <w:rPr>
          <w:rFonts w:ascii="Liberation Serif" w:hAnsi="Liberation Serif" w:eastAsia="Liberation Serif"/>
          <w:b w:val="0"/>
          <w:i/>
          <w:color w:val="555555"/>
          <w:sz w:val="20"/>
        </w:rPr>
        <w:t>Eight risks are tracked. All eight have active mitigations built into the delivery plan — none are accepted residual risks.</w:t>
      </w:r>
    </w:p>
    <w:p>
      <w:pPr>
        <w:autoSpaceDN w:val="0"/>
        <w:autoSpaceDE w:val="0"/>
        <w:widowControl/>
        <w:spacing w:line="230" w:lineRule="auto" w:before="6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The three High-impact risks (SSO, model performance, multi-agent accuracy) are all addressed in Phase 0 before any</w:t>
      </w:r>
    </w:p>
    <w:p>
      <w:pPr>
        <w:autoSpaceDN w:val="0"/>
        <w:autoSpaceDE w:val="0"/>
        <w:widowControl/>
        <w:spacing w:line="230" w:lineRule="auto" w:before="78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/>
          <w:color w:val="555555"/>
          <w:sz w:val="20"/>
        </w:rPr>
        <w:t>production capability is built.</w:t>
      </w:r>
    </w:p>
    <w:p>
      <w:pPr>
        <w:autoSpaceDN w:val="0"/>
        <w:autoSpaceDE w:val="0"/>
        <w:widowControl/>
        <w:spacing w:line="233" w:lineRule="auto" w:before="222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32 Risk Register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76"/>
        <w:gridCol w:w="2476"/>
        <w:gridCol w:w="2476"/>
        <w:gridCol w:w="2476"/>
      </w:tblGrid>
      <w:tr>
        <w:trPr>
          <w:trHeight w:hRule="exact" w:val="456"/>
        </w:trPr>
        <w:tc>
          <w:tcPr>
            <w:tcW w:type="dxa" w:w="2578"/>
            <w:tcBorders>
              <w:top w:sz="12.0" w:val="single" w:color="#333333"/>
              <w:bottom w:sz="5.60000000000013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Risk</w:t>
            </w:r>
          </w:p>
        </w:tc>
        <w:tc>
          <w:tcPr>
            <w:tcW w:type="dxa" w:w="1080"/>
            <w:tcBorders>
              <w:top w:sz="12.0" w:val="single" w:color="#333333"/>
              <w:bottom w:sz="5.60000000000013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7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Likelihood</w:t>
            </w:r>
          </w:p>
        </w:tc>
        <w:tc>
          <w:tcPr>
            <w:tcW w:type="dxa" w:w="760"/>
            <w:tcBorders>
              <w:top w:sz="12.0" w:val="single" w:color="#333333"/>
              <w:bottom w:sz="5.60000000000013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Impact</w:t>
            </w:r>
          </w:p>
        </w:tc>
        <w:tc>
          <w:tcPr>
            <w:tcW w:type="dxa" w:w="5468"/>
            <w:tcBorders>
              <w:top w:sz="12.0" w:val="single" w:color="#333333"/>
              <w:bottom w:sz="5.600000000000136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Mitigation</w:t>
            </w:r>
          </w:p>
        </w:tc>
      </w:tr>
      <w:tr>
        <w:trPr>
          <w:trHeight w:hRule="exact" w:val="282"/>
        </w:trPr>
        <w:tc>
          <w:tcPr>
            <w:tcW w:type="dxa" w:w="2578"/>
            <w:tcBorders>
              <w:top w:sz="5.6000000000001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Multi-agent consensus produces</w:t>
            </w:r>
          </w:p>
        </w:tc>
        <w:tc>
          <w:tcPr>
            <w:tcW w:type="dxa" w:w="1080"/>
            <w:tcBorders>
              <w:top w:sz="5.6000000000001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17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760"/>
            <w:tcBorders>
              <w:top w:sz="5.6000000000001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High</w:t>
            </w:r>
          </w:p>
        </w:tc>
        <w:tc>
          <w:tcPr>
            <w:tcW w:type="dxa" w:w="5468"/>
            <w:tcBorders>
              <w:top w:sz="5.600000000000136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Confidence-gated display; human-in-the-loop gate for IRB-flagged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56"/>
        <w:ind w:left="0" w:right="0"/>
      </w:pP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misleading research outputs</w:t>
      </w:r>
    </w:p>
    <w:p>
      <w:pPr>
        <w:sectPr>
          <w:type w:val="continuous"/>
          <w:pgSz w:w="11899" w:h="16838"/>
          <w:pgMar w:top="238" w:right="972" w:bottom="228" w:left="1022" w:header="720" w:footer="720" w:gutter="0"/>
          <w:cols w:num="2" w:equalWidth="0">
            <w:col w:w="3318" w:space="0"/>
            <w:col w:w="6588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206"/>
        <w:ind w:left="1220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workflows; 5-stage SQL sandbox; regression golden set gates every </w:t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deployment</w:t>
      </w:r>
    </w:p>
    <w:p>
      <w:pPr>
        <w:sectPr>
          <w:type w:val="nextColumn"/>
          <w:pgSz w:w="11899" w:h="16838"/>
          <w:pgMar w:top="238" w:right="972" w:bottom="228" w:left="1022" w:header="720" w:footer="720" w:gutter="0"/>
          <w:cols w:num="2" w:equalWidth="0">
            <w:col w:w="3318" w:space="0"/>
            <w:col w:w="65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2476"/>
        <w:gridCol w:w="2476"/>
        <w:gridCol w:w="2476"/>
        <w:gridCol w:w="2476"/>
      </w:tblGrid>
      <w:tr>
        <w:trPr>
          <w:trHeight w:hRule="exact" w:val="222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SSO integration complexity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High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 0 critical path: SSO discovery in Week 1. Phase 1 cannot begin</w:t>
            </w:r>
          </w:p>
        </w:tc>
      </w:tr>
      <w:tr>
        <w:trPr>
          <w:trHeight w:hRule="exact" w:val="336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discovered late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High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2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until bridge prototype is validated. 2-week schedule buffer.</w:t>
            </w:r>
          </w:p>
        </w:tc>
      </w:tr>
      <w:tr>
        <w:trPr>
          <w:trHeight w:hRule="exact" w:val="282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Model underperforms on Malay-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2476"/>
            <w:vMerge/>
            <w:tcBorders/>
          </w:tcPr>
          <w:p/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2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 0 bilingual benchmark: Qwen3.6-35B-A3B vs Gemma 4-31B vs</w:t>
            </w:r>
          </w:p>
        </w:tc>
      </w:tr>
    </w:tbl>
    <w:p>
      <w:pPr>
        <w:autoSpaceDN w:val="0"/>
        <w:autoSpaceDE w:val="0"/>
        <w:widowControl/>
        <w:spacing w:line="14" w:lineRule="exact" w:before="0" w:after="56"/>
        <w:ind w:left="0" w:right="0"/>
      </w:pPr>
    </w:p>
    <w:p>
      <w:pPr>
        <w:sectPr>
          <w:type w:val="continuous"/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English mixed research prompts</w:t>
      </w:r>
    </w:p>
    <w:p>
      <w:pPr>
        <w:sectPr>
          <w:type w:val="continuous"/>
          <w:pgSz w:w="11899" w:h="16838"/>
          <w:pgMar w:top="238" w:right="972" w:bottom="228" w:left="1022" w:header="720" w:footer="720" w:gutter="0"/>
          <w:cols w:num="2" w:equalWidth="0">
            <w:col w:w="3476" w:space="0"/>
            <w:col w:w="6430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206"/>
        <w:ind w:left="1062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Nemotron-3 Super. Architecture maintains swap path regardless of </w:t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winner.</w:t>
      </w:r>
    </w:p>
    <w:p>
      <w:pPr>
        <w:sectPr>
          <w:type w:val="nextColumn"/>
          <w:pgSz w:w="11899" w:h="16838"/>
          <w:pgMar w:top="238" w:right="972" w:bottom="228" w:left="1022" w:header="720" w:footer="720" w:gutter="0"/>
          <w:cols w:num="2" w:equalWidth="0">
            <w:col w:w="3476" w:space="0"/>
            <w:col w:w="64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2476"/>
        <w:gridCol w:w="2476"/>
        <w:gridCol w:w="2476"/>
        <w:gridCol w:w="2476"/>
      </w:tblGrid>
      <w:tr>
        <w:trPr>
          <w:trHeight w:hRule="exact" w:val="224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IRB gate adds unacceptable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Async pre-screening for common research types; fast-path for non-</w:t>
            </w:r>
          </w:p>
        </w:tc>
      </w:tr>
      <w:tr>
        <w:trPr>
          <w:trHeight w:hRule="exact" w:val="332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latency to researcher workflows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6" w:after="0"/>
              <w:ind w:left="1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human-subject workflows; benchmarked in Phase 0 with &lt;500ms target.</w:t>
            </w:r>
          </w:p>
        </w:tc>
      </w:tr>
      <w:tr>
        <w:trPr>
          <w:trHeight w:hRule="exact" w:val="328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Embedding model upgrade breaks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2476"/>
            <w:vMerge/>
            <w:tcBorders/>
          </w:tcPr>
          <w:p/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Versioned embedding indexes with parallel cutover support. Any</w:t>
            </w:r>
          </w:p>
        </w:tc>
      </w:tr>
      <w:tr>
        <w:trPr>
          <w:trHeight w:hRule="exact" w:val="336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retrieval quality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8" w:after="0"/>
              <w:ind w:left="1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upgrade requires full golden set re-evaluation before going live.</w:t>
            </w:r>
          </w:p>
        </w:tc>
      </w:tr>
      <w:tr>
        <w:trPr>
          <w:trHeight w:hRule="exact" w:val="324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Outdated research documents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2476"/>
            <w:vMerge/>
            <w:tcBorders/>
          </w:tcPr>
          <w:p/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Document lifecycle states (ACTIVE / SUPERSEDED / RETRACTED)</w:t>
            </w:r>
          </w:p>
        </w:tc>
      </w:tr>
      <w:tr>
        <w:trPr>
          <w:trHeight w:hRule="exact" w:val="328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remain retrievable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4" w:after="0"/>
              <w:ind w:left="1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enforced at index time. Default retrieval is ACTIVE-only.</w:t>
            </w:r>
          </w:p>
        </w:tc>
      </w:tr>
      <w:tr>
        <w:trPr>
          <w:trHeight w:hRule="exact" w:val="312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Low AI trust among conservative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2476"/>
            <w:vMerge/>
            <w:tcBorders/>
          </w:tcPr>
          <w:p/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Citations and source attribution on every output. Confidence indicators</w:t>
            </w:r>
          </w:p>
        </w:tc>
      </w:tr>
      <w:tr>
        <w:trPr>
          <w:trHeight w:hRule="exact" w:val="282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researchers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2476"/>
            <w:vMerge/>
            <w:tcBorders/>
          </w:tcPr>
          <w:p/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on every response. Phased rollout starting with power users.</w:t>
            </w:r>
          </w:p>
        </w:tc>
      </w:tr>
    </w:tbl>
    <w:p>
      <w:pPr>
        <w:autoSpaceDN w:val="0"/>
        <w:autoSpaceDE w:val="0"/>
        <w:widowControl/>
        <w:spacing w:line="230" w:lineRule="auto" w:before="28" w:after="146"/>
        <w:ind w:left="0" w:right="3376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Reproducibility guarantees.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76"/>
        <w:gridCol w:w="2476"/>
        <w:gridCol w:w="2476"/>
        <w:gridCol w:w="2476"/>
      </w:tblGrid>
      <w:tr>
        <w:trPr>
          <w:trHeight w:hRule="exact" w:val="284"/>
        </w:trPr>
        <w:tc>
          <w:tcPr>
            <w:tcW w:type="dxa" w:w="2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Docling extraction quality varies</w:t>
            </w:r>
          </w:p>
        </w:tc>
        <w:tc>
          <w:tcPr>
            <w:tcW w:type="dxa" w:w="960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880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9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Medium</w:t>
            </w:r>
          </w:p>
        </w:tc>
        <w:tc>
          <w:tcPr>
            <w:tcW w:type="dxa" w:w="5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Document-type-specific tuning. Admin Console HITL review queue for</w:t>
            </w:r>
          </w:p>
        </w:tc>
      </w:tr>
      <w:tr>
        <w:trPr>
          <w:trHeight w:hRule="exact" w:val="358"/>
        </w:trPr>
        <w:tc>
          <w:tcPr>
            <w:tcW w:type="dxa" w:w="259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by document type</w:t>
            </w:r>
          </w:p>
        </w:tc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  <w:tc>
          <w:tcPr>
            <w:tcW w:type="dxa" w:w="544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documents below 0.75 confidence. Excluded until human-approved.</w:t>
            </w:r>
          </w:p>
        </w:tc>
      </w:tr>
    </w:tbl>
    <w:p>
      <w:pPr>
        <w:autoSpaceDN w:val="0"/>
        <w:autoSpaceDE w:val="0"/>
        <w:widowControl/>
        <w:spacing w:line="233" w:lineRule="auto" w:before="6226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35</w:t>
      </w:r>
    </w:p>
    <w:p>
      <w:pPr>
        <w:sectPr>
          <w:type w:val="continuous"/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Appendix</w:t>
      </w:r>
    </w:p>
    <w:p>
      <w:pPr>
        <w:autoSpaceDN w:val="0"/>
        <w:autoSpaceDE w:val="0"/>
        <w:widowControl/>
        <w:spacing w:line="230" w:lineRule="auto" w:before="546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36"/>
        </w:rPr>
        <w:t>Appendix</w:t>
      </w:r>
    </w:p>
    <w:p>
      <w:pPr>
        <w:autoSpaceDN w:val="0"/>
        <w:autoSpaceDE w:val="0"/>
        <w:widowControl/>
        <w:spacing w:line="230" w:lineRule="auto" w:before="504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A. Glossary</w:t>
      </w:r>
    </w:p>
    <w:p>
      <w:pPr>
        <w:autoSpaceDN w:val="0"/>
        <w:autoSpaceDE w:val="0"/>
        <w:widowControl/>
        <w:spacing w:line="230" w:lineRule="auto" w:before="290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33 Glossary of Terms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52"/>
        <w:gridCol w:w="4952"/>
      </w:tblGrid>
      <w:tr>
        <w:trPr>
          <w:trHeight w:hRule="exact" w:val="458"/>
        </w:trPr>
        <w:tc>
          <w:tcPr>
            <w:tcW w:type="dxa" w:w="1238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Term</w:t>
            </w:r>
          </w:p>
        </w:tc>
        <w:tc>
          <w:tcPr>
            <w:tcW w:type="dxa" w:w="8648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23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Plain-English Definition</w:t>
            </w:r>
          </w:p>
        </w:tc>
      </w:tr>
      <w:tr>
        <w:trPr>
          <w:trHeight w:hRule="exact" w:val="330"/>
        </w:trPr>
        <w:tc>
          <w:tcPr>
            <w:tcW w:type="dxa" w:w="1238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Hybrid RAG</w:t>
            </w:r>
          </w:p>
        </w:tc>
        <w:tc>
          <w:tcPr>
            <w:tcW w:type="dxa" w:w="8648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23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Retrieval combining semantic vector search (for unstructured documents) with deterministic SQL querying (for</w:t>
            </w:r>
          </w:p>
        </w:tc>
      </w:tr>
    </w:tbl>
    <w:p>
      <w:pPr>
        <w:autoSpaceDN w:val="0"/>
        <w:autoSpaceDE w:val="0"/>
        <w:widowControl/>
        <w:spacing w:line="230" w:lineRule="auto" w:before="12" w:after="0"/>
        <w:ind w:left="146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structured research data). Required for research because both data types coexist.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92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Text-to-SQL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AI capability that converts a plain-language question into a validated, safe SQL query that retrieves the exact</w:t>
      </w:r>
    </w:p>
    <w:p>
      <w:pPr>
        <w:autoSpaceDN w:val="0"/>
        <w:autoSpaceDE w:val="0"/>
        <w:widowControl/>
        <w:spacing w:line="230" w:lineRule="auto" w:before="70" w:after="0"/>
        <w:ind w:left="146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answer from the database.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90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pgvector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 PostgreSQL extension that adds vector similarity search — eliminating the need for a separate vector database</w:t>
      </w:r>
    </w:p>
    <w:p>
      <w:pPr>
        <w:autoSpaceDN w:val="0"/>
        <w:autoSpaceDE w:val="0"/>
        <w:widowControl/>
        <w:spacing w:line="230" w:lineRule="auto" w:before="72" w:after="0"/>
        <w:ind w:left="146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service like Pinecone or Weaviate.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92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HNSW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Hierarchical Navigable Small World — the index algorithm used for fast approximate nearest-neighbour search in</w:t>
      </w:r>
    </w:p>
    <w:p>
      <w:pPr>
        <w:autoSpaceDN w:val="0"/>
        <w:autoSpaceDE w:val="0"/>
        <w:widowControl/>
        <w:spacing w:line="230" w:lineRule="auto" w:before="70" w:after="0"/>
        <w:ind w:left="146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pgvector. Provides high recall at millisecond latency.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90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IBM Docling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Open-source document intelligence toolkit by IBM Research that extracts text, tables, and charts from PDFs and</w:t>
      </w:r>
    </w:p>
    <w:p>
      <w:pPr>
        <w:autoSpaceDN w:val="0"/>
        <w:autoSpaceDE w:val="0"/>
        <w:widowControl/>
        <w:spacing w:line="230" w:lineRule="auto" w:before="56" w:after="0"/>
        <w:ind w:left="146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scanned documents.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0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LangGraph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Multi-step agent workflow framework (v1.0, Oct 2025). Enables AI to call tools in sequence with branching logic,</w:t>
      </w:r>
    </w:p>
    <w:p>
      <w:pPr>
        <w:autoSpaceDN w:val="0"/>
        <w:autoSpaceDE w:val="0"/>
        <w:widowControl/>
        <w:spacing w:line="230" w:lineRule="auto" w:before="56" w:after="0"/>
        <w:ind w:left="146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state management, and guardrails. Production-grade: deployed at LinkedIn, Replit, Elastic.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0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Nemotron-3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NVIDIA's 120B total / 12B active parameter MoE hybrid Mamba-Transformer model. Built for agentic tool-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5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Super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calling and long-context RAG. Optimised for CUDA/NVFP4 on DGX Spark.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0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Qwen3.6-35B-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Alibaba's MoE model with 35B total / ~3B active parameters. 262K native context (ext. 1M). Apache 2.0. Top-tier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5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A3B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bilingual (Malay/English) performance. Primary reasoning model.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90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Gemma 4-31B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Google's open-weight 31B dense model. Apache 2.0. 256K context. Runs natively on Apple Silicon via MLX.</w:t>
      </w:r>
    </w:p>
    <w:p>
      <w:pPr>
        <w:autoSpaceDN w:val="0"/>
        <w:autoSpaceDE w:val="0"/>
        <w:widowControl/>
        <w:spacing w:line="230" w:lineRule="auto" w:before="70" w:after="0"/>
        <w:ind w:left="146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Used as fast-lane alternative and benchmark candidate.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92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EXO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Open-source disaggregated inference framework that pools heterogeneous hardware nodes into a single OpenAI-</w:t>
      </w:r>
    </w:p>
    <w:p>
      <w:pPr>
        <w:autoSpaceDN w:val="0"/>
        <w:autoSpaceDE w:val="0"/>
        <w:widowControl/>
        <w:spacing w:line="230" w:lineRule="auto" w:before="72" w:after="0"/>
        <w:ind w:left="146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compatible API endpoint. Suluh Swarm's 5-node cluster uses EXO.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90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LangFuse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Self-hosted observability platform that records every LLM call, retrieval operation, routing decision, and agent</w:t>
      </w:r>
    </w:p>
    <w:p>
      <w:pPr>
        <w:autoSpaceDN w:val="0"/>
        <w:autoSpaceDE w:val="0"/>
        <w:widowControl/>
        <w:spacing w:line="230" w:lineRule="auto" w:before="56" w:after="0"/>
        <w:ind w:left="146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action as a traceable span. All data stays on-premise.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0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PDPA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Personal Data Protection Act 2010 (Malaysia). Governs the collection, processing, storage, and disclosure of</w:t>
      </w:r>
    </w:p>
    <w:p>
      <w:pPr>
        <w:autoSpaceDN w:val="0"/>
        <w:autoSpaceDE w:val="0"/>
        <w:widowControl/>
        <w:spacing w:line="230" w:lineRule="auto" w:before="54" w:after="0"/>
        <w:ind w:left="146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personal data.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0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IRB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Institutional Review Board. Ethics review committee that approves, monitors, and reviews research involving</w:t>
      </w:r>
    </w:p>
    <w:p>
      <w:pPr>
        <w:autoSpaceDN w:val="0"/>
        <w:autoSpaceDE w:val="0"/>
        <w:widowControl/>
        <w:spacing w:line="230" w:lineRule="auto" w:before="56" w:after="0"/>
        <w:ind w:left="146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human subjects.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0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Claude Code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Anthropic's command-line developer acceleration tool. Used across all 10 priority workstreams for schema</w:t>
      </w:r>
    </w:p>
    <w:p>
      <w:pPr>
        <w:autoSpaceDN w:val="0"/>
        <w:autoSpaceDE w:val="0"/>
        <w:widowControl/>
        <w:spacing w:line="230" w:lineRule="auto" w:before="56" w:after="0"/>
        <w:ind w:left="146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introspection, scaffolding, test generation, and documentation.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92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SSO bridge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Integration component that extracts the authenticated user's identity and role from the institutional SSO session and</w:t>
      </w:r>
    </w:p>
    <w:p>
      <w:pPr>
        <w:autoSpaceDN w:val="0"/>
        <w:autoSpaceDE w:val="0"/>
        <w:widowControl/>
        <w:spacing w:line="230" w:lineRule="auto" w:before="70" w:after="0"/>
        <w:ind w:left="146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issues a JWT token for Vue 3 Workbench authentication.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90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Golden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 curated library of 200 query-answer pairs used to gate every model, prompt, retrieval, or agent workflow change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72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evaluation set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from reaching production.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92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Agent Registry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 discoverable catalogue of registered AI agents with capability descriptions, version history, compatibility</w:t>
      </w:r>
    </w:p>
    <w:p>
      <w:pPr>
        <w:autoSpaceDN w:val="0"/>
        <w:autoSpaceDE w:val="0"/>
        <w:widowControl/>
        <w:spacing w:line="230" w:lineRule="auto" w:before="56" w:after="0"/>
        <w:ind w:left="146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matrices, and health status.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206" w:after="0"/>
        <w:ind w:left="86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 xml:space="preserve">IRB Ethics Gate </w:t>
      </w:r>
      <w:r>
        <w:tab/>
      </w: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 deterministic checkpoint in every agent workflow that assesses human-subject research risk and blocks or</w:t>
      </w:r>
    </w:p>
    <w:p>
      <w:pPr>
        <w:autoSpaceDN w:val="0"/>
        <w:autoSpaceDE w:val="0"/>
        <w:widowControl/>
        <w:spacing w:line="230" w:lineRule="auto" w:before="56" w:after="0"/>
        <w:ind w:left="146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approves continuation based on IRB protocol matching.</w:t>
      </w:r>
    </w:p>
    <w:p>
      <w:pPr>
        <w:autoSpaceDN w:val="0"/>
        <w:autoSpaceDE w:val="0"/>
        <w:widowControl/>
        <w:spacing w:line="233" w:lineRule="auto" w:before="96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36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512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Appendix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52"/>
        <w:gridCol w:w="4952"/>
      </w:tblGrid>
      <w:tr>
        <w:trPr>
          <w:trHeight w:hRule="exact" w:val="642"/>
        </w:trPr>
        <w:tc>
          <w:tcPr>
            <w:tcW w:type="dxa" w:w="123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0" w:after="0"/>
              <w:ind w:left="86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Swarm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Coordinator</w:t>
            </w:r>
          </w:p>
        </w:tc>
        <w:tc>
          <w:tcPr>
            <w:tcW w:type="dxa" w:w="864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0" w:after="0"/>
              <w:ind w:left="282" w:right="288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 xml:space="preserve">The LangGraph-based orchestrator that matches tasks to agents, manages inter-agent communication, resolves </w:t>
            </w: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conflicts, and aggregates consensus outputs.</w:t>
            </w:r>
          </w:p>
        </w:tc>
      </w:tr>
    </w:tbl>
    <w:p>
      <w:pPr>
        <w:autoSpaceDN w:val="0"/>
        <w:autoSpaceDE w:val="0"/>
        <w:widowControl/>
        <w:spacing w:line="230" w:lineRule="auto" w:before="340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B. Open Questions — Resolution Required Before Phase 1</w:t>
      </w:r>
    </w:p>
    <w:p>
      <w:pPr>
        <w:autoSpaceDN w:val="0"/>
        <w:autoSpaceDE w:val="0"/>
        <w:widowControl/>
        <w:spacing w:line="230" w:lineRule="auto" w:before="306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34 Open Questions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76"/>
        <w:gridCol w:w="2476"/>
        <w:gridCol w:w="2476"/>
        <w:gridCol w:w="2476"/>
      </w:tblGrid>
      <w:tr>
        <w:trPr>
          <w:trHeight w:hRule="exact" w:val="442"/>
        </w:trPr>
        <w:tc>
          <w:tcPr>
            <w:tcW w:type="dxa" w:w="498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#</w:t>
            </w:r>
          </w:p>
        </w:tc>
        <w:tc>
          <w:tcPr>
            <w:tcW w:type="dxa" w:w="5280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Question</w:t>
            </w:r>
          </w:p>
        </w:tc>
        <w:tc>
          <w:tcPr>
            <w:tcW w:type="dxa" w:w="1480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0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Owner</w:t>
            </w:r>
          </w:p>
        </w:tc>
        <w:tc>
          <w:tcPr>
            <w:tcW w:type="dxa" w:w="2628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64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Target Resolution</w:t>
            </w:r>
          </w:p>
        </w:tc>
      </w:tr>
      <w:tr>
        <w:trPr>
          <w:trHeight w:hRule="exact" w:val="322"/>
        </w:trPr>
        <w:tc>
          <w:tcPr>
            <w:tcW w:type="dxa" w:w="49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OQ-</w:t>
            </w:r>
          </w:p>
        </w:tc>
        <w:tc>
          <w:tcPr>
            <w:tcW w:type="dxa" w:w="5280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Is UPSI SSO OpenID Connect or SAML? This determines the JWT</w:t>
            </w:r>
          </w:p>
        </w:tc>
        <w:tc>
          <w:tcPr>
            <w:tcW w:type="dxa" w:w="1480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ICT Head / Putra</w:t>
            </w:r>
          </w:p>
        </w:tc>
        <w:tc>
          <w:tcPr>
            <w:tcW w:type="dxa" w:w="262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6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 0, Week 1 — BLOCKS</w:t>
            </w:r>
          </w:p>
        </w:tc>
      </w:tr>
      <w:tr>
        <w:trPr>
          <w:trHeight w:hRule="exact" w:val="320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issuance mechanism and bridge implementation.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Nasution</w:t>
            </w:r>
          </w:p>
        </w:tc>
        <w:tc>
          <w:tcPr>
            <w:tcW w:type="dxa" w:w="2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6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 1</w:t>
            </w:r>
          </w:p>
        </w:tc>
      </w:tr>
      <w:tr>
        <w:trPr>
          <w:trHeight w:hRule="exact" w:val="340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OQ-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Does the DBA team have capacity to operate Debezium/Kafka? If not,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1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DBA team / Dr.</w:t>
            </w:r>
          </w:p>
        </w:tc>
        <w:tc>
          <w:tcPr>
            <w:tcW w:type="dxa" w:w="2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16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 0, Week 2</w:t>
            </w:r>
          </w:p>
        </w:tc>
      </w:tr>
      <w:tr>
        <w:trPr>
          <w:trHeight w:hRule="exact" w:val="338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pg_logical replication is the preferred fallback.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Suzani</w:t>
            </w:r>
          </w:p>
        </w:tc>
        <w:tc>
          <w:tcPr>
            <w:tcW w:type="dxa" w:w="26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2" w:after="0"/>
              <w:ind w:left="16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 0, Week 3</w:t>
            </w:r>
          </w:p>
        </w:tc>
      </w:tr>
      <w:tr>
        <w:trPr>
          <w:trHeight w:hRule="exact" w:val="322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OQ-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Embedding model: bge-m3 (multilingual, 768d) vs nomic-embed-text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Putra Nasution</w:t>
            </w:r>
          </w:p>
        </w:tc>
        <w:tc>
          <w:tcPr>
            <w:tcW w:type="dxa" w:w="247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(512d)? Benchmark required on Malay research text corpus.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4" w:after="0"/>
              <w:ind w:left="1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ICT Head</w:t>
            </w:r>
          </w:p>
        </w:tc>
        <w:tc>
          <w:tcPr>
            <w:tcW w:type="dxa" w:w="26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4" w:after="0"/>
              <w:ind w:left="16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 0, Week 1</w:t>
            </w:r>
          </w:p>
        </w:tc>
      </w:tr>
      <w:tr>
        <w:trPr>
          <w:trHeight w:hRule="exact" w:val="320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OQ-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Does UPSI have an existing NAS that can serve an S3-compatible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2476"/>
            <w:vMerge/>
            <w:tcBorders/>
          </w:tcPr>
          <w:p/>
        </w:tc>
      </w:tr>
      <w:tr>
        <w:trPr>
          <w:trHeight w:hRule="exact" w:val="334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API? Prefer over deploying a new MinIO instance.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0" w:after="0"/>
              <w:ind w:left="1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Putra Nasution</w:t>
            </w:r>
          </w:p>
        </w:tc>
        <w:tc>
          <w:tcPr>
            <w:tcW w:type="dxa" w:w="26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0" w:after="0"/>
              <w:ind w:left="16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 1, Week 1</w:t>
            </w:r>
          </w:p>
        </w:tc>
      </w:tr>
      <w:tr>
        <w:trPr>
          <w:trHeight w:hRule="exact" w:val="326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OQ-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Is Redis available on the UPSI intranet for agent state caching? If not,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2476"/>
            <w:vMerge/>
            <w:tcBorders/>
          </w:tcPr>
          <w:p/>
        </w:tc>
      </w:tr>
      <w:tr>
        <w:trPr>
          <w:trHeight w:hRule="exact" w:val="336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PostgreSQL advisory lock fallback must be designed.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2" w:after="0"/>
              <w:ind w:left="1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UPSI Legal /</w:t>
            </w:r>
          </w:p>
        </w:tc>
        <w:tc>
          <w:tcPr>
            <w:tcW w:type="dxa" w:w="26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2" w:after="0"/>
              <w:ind w:left="16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Before Phase 1 go-live —</w:t>
            </w:r>
          </w:p>
        </w:tc>
      </w:tr>
      <w:tr>
        <w:trPr>
          <w:trHeight w:hRule="exact" w:val="324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OQ-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Has UPSI Legal reviewed and signed Anthropic's Data Processing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247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Agreement? Required before cloud escalation is activated.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Compliance</w:t>
            </w:r>
          </w:p>
        </w:tc>
        <w:tc>
          <w:tcPr>
            <w:tcW w:type="dxa" w:w="2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BLOCKS escalation activation</w:t>
            </w:r>
          </w:p>
        </w:tc>
      </w:tr>
      <w:tr>
        <w:trPr>
          <w:trHeight w:hRule="exact" w:val="340"/>
        </w:trPr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OQ-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Which 5 research types should the Phase 0 IRB prototype support?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IRB Chair / Dr.</w:t>
            </w:r>
          </w:p>
        </w:tc>
        <w:tc>
          <w:tcPr>
            <w:tcW w:type="dxa" w:w="2628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6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Phase 0, Week 1</w:t>
            </w:r>
          </w:p>
        </w:tc>
      </w:tr>
      <w:tr>
        <w:trPr>
          <w:trHeight w:hRule="exact" w:val="352"/>
        </w:trPr>
        <w:tc>
          <w:tcPr>
            <w:tcW w:type="dxa" w:w="49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7</w:t>
            </w:r>
          </w:p>
        </w:tc>
        <w:tc>
          <w:tcPr>
            <w:tcW w:type="dxa" w:w="528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Need IRB Chair input on highest-volume protocol categories.</w:t>
            </w:r>
          </w:p>
        </w:tc>
        <w:tc>
          <w:tcPr>
            <w:tcW w:type="dxa" w:w="148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0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Suzani</w:t>
            </w:r>
          </w:p>
        </w:tc>
        <w:tc>
          <w:tcPr>
            <w:tcW w:type="dxa" w:w="2476"/>
            <w:vMerge/>
            <w:tcBorders>
              <w:bottom w:sz="12.0" w:val="single" w:color="#333333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328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C. Technology Track Record</w:t>
      </w:r>
    </w:p>
    <w:p>
      <w:pPr>
        <w:autoSpaceDN w:val="0"/>
        <w:autoSpaceDE w:val="0"/>
        <w:widowControl/>
        <w:spacing w:line="230" w:lineRule="auto" w:before="304" w:after="152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35 Component Production Track Records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446"/>
        </w:trPr>
        <w:tc>
          <w:tcPr>
            <w:tcW w:type="dxa" w:w="1338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Component</w:t>
            </w:r>
          </w:p>
        </w:tc>
        <w:tc>
          <w:tcPr>
            <w:tcW w:type="dxa" w:w="1820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188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Origin / Maintainer</w:t>
            </w:r>
          </w:p>
        </w:tc>
        <w:tc>
          <w:tcPr>
            <w:tcW w:type="dxa" w:w="6728"/>
            <w:tcBorders>
              <w:top w:sz="12.0" w:val="single" w:color="#333333"/>
              <w:bottom w:sz="5.599999999999909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Production Track Record</w:t>
            </w:r>
          </w:p>
        </w:tc>
      </w:tr>
      <w:tr>
        <w:trPr>
          <w:trHeight w:hRule="exact" w:val="310"/>
        </w:trPr>
        <w:tc>
          <w:tcPr>
            <w:tcW w:type="dxa" w:w="1338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Qwen3.6-35B-</w:t>
            </w:r>
          </w:p>
        </w:tc>
        <w:tc>
          <w:tcPr>
            <w:tcW w:type="dxa" w:w="1820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8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Alibaba DAMO</w:t>
            </w:r>
          </w:p>
        </w:tc>
        <w:tc>
          <w:tcPr>
            <w:tcW w:type="dxa" w:w="6728"/>
            <w:tcBorders>
              <w:top w:sz="5.599999999999909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262K–1M context, Apache 2.0, top bilingual benchmarks, 1.28M monthly HuggingFace</w:t>
            </w:r>
          </w:p>
        </w:tc>
      </w:tr>
      <w:tr>
        <w:trPr>
          <w:trHeight w:hRule="exact" w:val="340"/>
        </w:trPr>
        <w:tc>
          <w:tcPr>
            <w:tcW w:type="dxa" w:w="1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A3B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18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Academy</w:t>
            </w:r>
          </w:p>
        </w:tc>
        <w:tc>
          <w:tcPr>
            <w:tcW w:type="dxa" w:w="6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downloads. Primary model.</w:t>
            </w:r>
          </w:p>
        </w:tc>
      </w:tr>
      <w:tr>
        <w:trPr>
          <w:trHeight w:hRule="exact" w:val="340"/>
        </w:trPr>
        <w:tc>
          <w:tcPr>
            <w:tcW w:type="dxa" w:w="1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Nemotron-3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8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NVIDIA Research</w:t>
            </w:r>
          </w:p>
        </w:tc>
        <w:tc>
          <w:tcPr>
            <w:tcW w:type="dxa" w:w="6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120B total / 12B active MoE, 1M context, Mamba-Transformer hybrid. Built for agentic</w:t>
            </w:r>
          </w:p>
        </w:tc>
      </w:tr>
      <w:tr>
        <w:trPr>
          <w:trHeight w:hRule="exact" w:val="330"/>
        </w:trPr>
        <w:tc>
          <w:tcPr>
            <w:tcW w:type="dxa" w:w="1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Super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18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Google DeepMind</w:t>
            </w:r>
          </w:p>
        </w:tc>
        <w:tc>
          <w:tcPr>
            <w:tcW w:type="dxa" w:w="6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4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tool-calling. GTC 2026.</w:t>
            </w:r>
          </w:p>
        </w:tc>
      </w:tr>
      <w:tr>
        <w:trPr>
          <w:trHeight w:hRule="exact" w:val="330"/>
        </w:trPr>
        <w:tc>
          <w:tcPr>
            <w:tcW w:type="dxa" w:w="1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Gemma 4-31B</w:t>
            </w:r>
          </w:p>
        </w:tc>
        <w:tc>
          <w:tcPr>
            <w:tcW w:type="dxa" w:w="3302"/>
            <w:vMerge/>
            <w:tcBorders/>
          </w:tcPr>
          <w:p/>
        </w:tc>
        <w:tc>
          <w:tcPr>
            <w:tcW w:type="dxa" w:w="6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Apache 2.0, 256K context, #3 Arena AI globally as of April 2026. MLX-native on Apple</w:t>
            </w:r>
          </w:p>
        </w:tc>
      </w:tr>
    </w:tbl>
    <w:p>
      <w:pPr>
        <w:autoSpaceDN w:val="0"/>
        <w:autoSpaceDE w:val="0"/>
        <w:widowControl/>
        <w:spacing w:line="230" w:lineRule="auto" w:before="12" w:after="132"/>
        <w:ind w:left="0" w:right="605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Silicon.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96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IBM Docling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IBM Research</w:t>
            </w:r>
          </w:p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8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Open-sourced late 2024; rapidly adopted as a leading document intelligence toolkit for</w:t>
            </w:r>
          </w:p>
        </w:tc>
      </w:tr>
    </w:tbl>
    <w:p>
      <w:pPr>
        <w:autoSpaceDN w:val="0"/>
        <w:autoSpaceDE w:val="0"/>
        <w:widowControl/>
        <w:spacing w:line="230" w:lineRule="auto" w:before="34" w:after="130"/>
        <w:ind w:left="0" w:right="473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enterprise RAG pipelines.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8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pgvector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PostgreSQL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Mainstream PostgreSQL extension; in production at major technology companies;</w:t>
            </w:r>
          </w:p>
        </w:tc>
      </w:tr>
      <w:tr>
        <w:trPr>
          <w:trHeight w:hRule="exact" w:val="346"/>
        </w:trPr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2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LangGraph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3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community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4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HNSW indexing since 2023.</w:t>
            </w:r>
          </w:p>
        </w:tc>
      </w:tr>
      <w:tr>
        <w:trPr>
          <w:trHeight w:hRule="exact" w:val="332"/>
        </w:trPr>
        <w:tc>
          <w:tcPr>
            <w:tcW w:type="dxa" w:w="330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32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LangChain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46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v1.0 Oct 2025; deployed at LinkedIn, Replit, Elastic; 6.17M monthly downloads; default</w:t>
            </w:r>
          </w:p>
        </w:tc>
      </w:tr>
    </w:tbl>
    <w:p>
      <w:pPr>
        <w:autoSpaceDN w:val="0"/>
        <w:autoSpaceDE w:val="0"/>
        <w:widowControl/>
        <w:spacing w:line="230" w:lineRule="auto" w:before="34" w:after="130"/>
        <w:ind w:left="0" w:right="439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runtime for LangChain agents.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8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LangFuse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6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LangFuse GmbH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Self-hosted LLM observability; used by major financial and technology firms; native</w:t>
            </w:r>
          </w:p>
        </w:tc>
      </w:tr>
    </w:tbl>
    <w:p>
      <w:pPr>
        <w:autoSpaceDN w:val="0"/>
        <w:autoSpaceDE w:val="0"/>
        <w:widowControl/>
        <w:spacing w:line="230" w:lineRule="auto" w:before="28" w:after="146"/>
        <w:ind w:left="0" w:right="451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LangGraph SDK integration.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02"/>
        <w:gridCol w:w="3302"/>
        <w:gridCol w:w="3302"/>
      </w:tblGrid>
      <w:tr>
        <w:trPr>
          <w:trHeight w:hRule="exact" w:val="28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EXO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exolabs open source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Enables heterogeneous hardware pooling; Apple-silicon-optimised; active community;</w:t>
            </w:r>
          </w:p>
        </w:tc>
      </w:tr>
    </w:tbl>
    <w:p>
      <w:pPr>
        <w:autoSpaceDN w:val="0"/>
        <w:autoSpaceDE w:val="0"/>
        <w:widowControl/>
        <w:spacing w:line="230" w:lineRule="auto" w:before="28" w:after="0"/>
        <w:ind w:left="0" w:right="4444" w:firstLine="0"/>
        <w:jc w:val="righ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OpenAI-compatible endpoint.</w:t>
      </w:r>
    </w:p>
    <w:p>
      <w:pPr>
        <w:autoSpaceDN w:val="0"/>
        <w:autoSpaceDE w:val="0"/>
        <w:widowControl/>
        <w:spacing w:line="233" w:lineRule="auto" w:before="1126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37</w:t>
      </w:r>
    </w:p>
    <w:p>
      <w:pPr>
        <w:sectPr>
          <w:pgSz w:w="11899" w:h="16838"/>
          <w:pgMar w:top="238" w:right="972" w:bottom="228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30" w:lineRule="auto" w:before="0" w:after="512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Appendix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278"/>
        </w:trPr>
        <w:tc>
          <w:tcPr>
            <w:tcW w:type="dxa" w:w="1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NVIDIA DGX Spark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NVIDIA</w:t>
            </w:r>
          </w:p>
        </w:tc>
        <w:tc>
          <w:tcPr>
            <w:tcW w:type="dxa" w:w="6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Grace Blackwell, 128 GB unified, 1 PFLOP FP4, ConnectX-7 200GbE. Reviewed and</w:t>
            </w:r>
          </w:p>
        </w:tc>
      </w:tr>
      <w:tr>
        <w:trPr>
          <w:trHeight w:hRule="exact" w:val="346"/>
        </w:trPr>
        <w:tc>
          <w:tcPr>
            <w:tcW w:type="dxa" w:w="1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(GB10)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2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Apple</w:t>
            </w:r>
          </w:p>
        </w:tc>
        <w:tc>
          <w:tcPr>
            <w:tcW w:type="dxa" w:w="6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24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benchmarked by Tom's Hardware Oct 2025.</w:t>
            </w:r>
          </w:p>
        </w:tc>
      </w:tr>
      <w:tr>
        <w:trPr>
          <w:trHeight w:hRule="exact" w:val="314"/>
        </w:trPr>
        <w:tc>
          <w:tcPr>
            <w:tcW w:type="dxa" w:w="1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Apple Mac Studio M3</w:t>
            </w:r>
          </w:p>
        </w:tc>
        <w:tc>
          <w:tcPr>
            <w:tcW w:type="dxa" w:w="3302"/>
            <w:vMerge/>
            <w:tcBorders/>
          </w:tcPr>
          <w:p/>
        </w:tc>
        <w:tc>
          <w:tcPr>
            <w:tcW w:type="dxa" w:w="6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24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256 GB unified, 28-core CPU, 60-core GPU. Highest memory bandwidth for token</w:t>
            </w:r>
          </w:p>
        </w:tc>
      </w:tr>
      <w:tr>
        <w:trPr>
          <w:trHeight w:hRule="exact" w:val="342"/>
        </w:trPr>
        <w:tc>
          <w:tcPr>
            <w:tcW w:type="dxa" w:w="1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Ultra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Open-source</w:t>
            </w:r>
          </w:p>
        </w:tc>
        <w:tc>
          <w:tcPr>
            <w:tcW w:type="dxa" w:w="6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24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generation in its class.</w:t>
            </w:r>
          </w:p>
        </w:tc>
      </w:tr>
      <w:tr>
        <w:trPr>
          <w:trHeight w:hRule="exact" w:val="318"/>
        </w:trPr>
        <w:tc>
          <w:tcPr>
            <w:tcW w:type="dxa" w:w="1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FastAPI +</w:t>
            </w:r>
          </w:p>
        </w:tc>
        <w:tc>
          <w:tcPr>
            <w:tcW w:type="dxa" w:w="3302"/>
            <w:vMerge/>
            <w:tcBorders/>
          </w:tcPr>
          <w:p/>
        </w:tc>
        <w:tc>
          <w:tcPr>
            <w:tcW w:type="dxa" w:w="6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24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Industry-standard Python web framework and database tooling; used across mission-</w:t>
            </w:r>
          </w:p>
        </w:tc>
      </w:tr>
      <w:tr>
        <w:trPr>
          <w:trHeight w:hRule="exact" w:val="340"/>
        </w:trPr>
        <w:tc>
          <w:tcPr>
            <w:tcW w:type="dxa" w:w="1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SQLAlchemy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Python</w:t>
            </w:r>
          </w:p>
        </w:tc>
        <w:tc>
          <w:tcPr>
            <w:tcW w:type="dxa" w:w="6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24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critical systems globally.</w:t>
            </w:r>
          </w:p>
        </w:tc>
      </w:tr>
      <w:tr>
        <w:trPr>
          <w:trHeight w:hRule="exact" w:val="320"/>
        </w:trPr>
        <w:tc>
          <w:tcPr>
            <w:tcW w:type="dxa" w:w="1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Claude Code</w:t>
            </w:r>
          </w:p>
        </w:tc>
        <w:tc>
          <w:tcPr>
            <w:tcW w:type="dxa" w:w="1280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42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Anthropic</w:t>
            </w:r>
          </w:p>
        </w:tc>
        <w:tc>
          <w:tcPr>
            <w:tcW w:type="dxa" w:w="6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24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Command-line developer acceleration tool; enables dramatic productivity gains on</w:t>
            </w:r>
          </w:p>
        </w:tc>
      </w:tr>
      <w:tr>
        <w:trPr>
          <w:trHeight w:hRule="exact" w:val="366"/>
        </w:trPr>
        <w:tc>
          <w:tcPr>
            <w:tcW w:type="dxa" w:w="183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(acceleration)</w:t>
            </w:r>
          </w:p>
        </w:tc>
        <w:tc>
          <w:tcPr>
            <w:tcW w:type="dxa" w:w="3302"/>
            <w:vMerge/>
            <w:tcBorders>
              <w:bottom w:sz="12.0" w:val="single" w:color="#333333"/>
            </w:tcBorders>
          </w:tcPr>
          <w:p/>
        </w:tc>
        <w:tc>
          <w:tcPr>
            <w:tcW w:type="dxa" w:w="676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24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schema work, scaffolding, and test generation.</w:t>
            </w:r>
          </w:p>
        </w:tc>
      </w:tr>
    </w:tbl>
    <w:p>
      <w:pPr>
        <w:autoSpaceDN w:val="0"/>
        <w:autoSpaceDE w:val="0"/>
        <w:widowControl/>
        <w:spacing w:line="230" w:lineRule="auto" w:before="342" w:after="0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203A43"/>
          <w:sz w:val="24"/>
        </w:rPr>
        <w:t>D. Why This Approach vs Alternatives</w:t>
      </w:r>
    </w:p>
    <w:p>
      <w:pPr>
        <w:autoSpaceDN w:val="0"/>
        <w:autoSpaceDE w:val="0"/>
        <w:widowControl/>
        <w:spacing w:line="230" w:lineRule="auto" w:before="290" w:after="156"/>
        <w:ind w:left="0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333333"/>
          <w:sz w:val="19"/>
        </w:rPr>
        <w:t>Table 36 Alternative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458"/>
        </w:trPr>
        <w:tc>
          <w:tcPr>
            <w:tcW w:type="dxa" w:w="1518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Alternative</w:t>
            </w:r>
          </w:p>
        </w:tc>
        <w:tc>
          <w:tcPr>
            <w:tcW w:type="dxa" w:w="5240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04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Why Not Chosen</w:t>
            </w:r>
          </w:p>
        </w:tc>
        <w:tc>
          <w:tcPr>
            <w:tcW w:type="dxa" w:w="3128"/>
            <w:tcBorders>
              <w:top w:sz="12.0" w:val="single" w:color="#333333"/>
              <w:bottom w:sz="6.400000000000091" w:val="single" w:color="#333333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333333"/>
                <w:sz w:val="18"/>
              </w:rPr>
              <w:t>Risks Incurred</w:t>
            </w:r>
          </w:p>
        </w:tc>
      </w:tr>
      <w:tr>
        <w:trPr>
          <w:trHeight w:hRule="exact" w:val="318"/>
        </w:trPr>
        <w:tc>
          <w:tcPr>
            <w:tcW w:type="dxa" w:w="151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Do nothing (status</w:t>
            </w:r>
          </w:p>
        </w:tc>
        <w:tc>
          <w:tcPr>
            <w:tcW w:type="dxa" w:w="5240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Productivity opportunity lost; researcher experience degrades vs peer</w:t>
            </w:r>
          </w:p>
        </w:tc>
        <w:tc>
          <w:tcPr>
            <w:tcW w:type="dxa" w:w="3128"/>
            <w:tcBorders>
              <w:top w:sz="6.400000000000091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Competitive erosion; talent risk; no</w:t>
            </w:r>
          </w:p>
        </w:tc>
      </w:tr>
      <w:tr>
        <w:trPr>
          <w:trHeight w:hRule="exact" w:val="260"/>
        </w:trPr>
        <w:tc>
          <w:tcPr>
            <w:tcW w:type="dxa" w:w="1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quo)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10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institutions; institutional knowledge trapped in scattered documents</w:t>
            </w:r>
          </w:p>
        </w:tc>
        <w:tc>
          <w:tcPr>
            <w:tcW w:type="dxa" w:w="3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position when sector-wide AI direction</w:t>
            </w:r>
          </w:p>
        </w:tc>
      </w:tr>
      <w:tr>
        <w:trPr>
          <w:trHeight w:hRule="exact" w:val="338"/>
        </w:trPr>
        <w:tc>
          <w:tcPr>
            <w:tcW w:type="dxa" w:w="15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Full cloud AI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0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and individual workflows</w:t>
            </w:r>
          </w:p>
        </w:tc>
        <w:tc>
          <w:tcPr>
            <w:tcW w:type="dxa" w:w="3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is set by others</w:t>
            </w:r>
          </w:p>
        </w:tc>
      </w:tr>
      <w:tr>
        <w:trPr>
          <w:trHeight w:hRule="exact" w:val="322"/>
        </w:trPr>
        <w:tc>
          <w:tcPr>
            <w:tcW w:type="dxa" w:w="3302"/>
            <w:vMerge/>
            <w:tcBorders/>
          </w:tcPr>
          <w:p/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Sensitive research data and participant records transit to foreign cloud</w:t>
            </w:r>
          </w:p>
        </w:tc>
        <w:tc>
          <w:tcPr>
            <w:tcW w:type="dxa" w:w="3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Data sovereignty risk; regulatory</w:t>
            </w:r>
          </w:p>
        </w:tc>
      </w:tr>
      <w:tr>
        <w:trPr>
          <w:trHeight w:hRule="exact" w:val="260"/>
        </w:trPr>
        <w:tc>
          <w:tcPr>
            <w:tcW w:type="dxa" w:w="1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(OpenAI / Gemini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0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providers; PDPA posture weakens; IRB compliance becomes</w:t>
            </w:r>
          </w:p>
        </w:tc>
        <w:tc>
          <w:tcPr>
            <w:tcW w:type="dxa" w:w="3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exposure; vendor lock-in; subscription</w:t>
            </w:r>
          </w:p>
        </w:tc>
      </w:tr>
      <w:tr>
        <w:trPr>
          <w:trHeight w:hRule="exact" w:val="274"/>
        </w:trPr>
        <w:tc>
          <w:tcPr>
            <w:tcW w:type="dxa" w:w="1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SaaS)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10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impossible for human-subject research; recurring vendor cost grows</w:t>
            </w:r>
          </w:p>
        </w:tc>
        <w:tc>
          <w:tcPr>
            <w:tcW w:type="dxa" w:w="3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cost at scale</w:t>
            </w:r>
          </w:p>
        </w:tc>
      </w:tr>
    </w:tbl>
    <w:p>
      <w:pPr>
        <w:autoSpaceDN w:val="0"/>
        <w:autoSpaceDE w:val="0"/>
        <w:widowControl/>
        <w:spacing w:line="230" w:lineRule="auto" w:before="14" w:after="130"/>
        <w:ind w:left="162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333333"/>
          <w:sz w:val="18"/>
        </w:rPr>
        <w:t>with usage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2"/>
        <w:gridCol w:w="3302"/>
        <w:gridCol w:w="3302"/>
      </w:tblGrid>
      <w:tr>
        <w:trPr>
          <w:trHeight w:hRule="exact" w:val="288"/>
        </w:trPr>
        <w:tc>
          <w:tcPr>
            <w:tcW w:type="dxa" w:w="1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Vendor-managed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Proprietary stacks limit customisation for UPSI research workflows;</w:t>
            </w:r>
          </w:p>
        </w:tc>
        <w:tc>
          <w:tcPr>
            <w:tcW w:type="dxa" w:w="3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Vendor roadmap dependency; limited</w:t>
            </w:r>
          </w:p>
        </w:tc>
      </w:tr>
      <w:tr>
        <w:trPr>
          <w:trHeight w:hRule="exact" w:val="260"/>
        </w:trPr>
        <w:tc>
          <w:tcPr>
            <w:tcW w:type="dxa" w:w="1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solution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6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IRB integration is vendor-dependent; domain integration is slower;</w:t>
            </w:r>
          </w:p>
        </w:tc>
        <w:tc>
          <w:tcPr>
            <w:tcW w:type="dxa" w:w="3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access to underlying reasoning; contract</w:t>
            </w:r>
          </w:p>
        </w:tc>
      </w:tr>
      <w:tr>
        <w:trPr>
          <w:trHeight w:hRule="exact" w:val="340"/>
        </w:trPr>
        <w:tc>
          <w:tcPr>
            <w:tcW w:type="dxa" w:w="14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4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Suluh Swarm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6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TCO typically exceeds build cost</w:t>
            </w:r>
          </w:p>
        </w:tc>
        <w:tc>
          <w:tcPr>
            <w:tcW w:type="dxa" w:w="3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lock-in</w:t>
            </w:r>
          </w:p>
        </w:tc>
      </w:tr>
      <w:tr>
        <w:trPr>
          <w:trHeight w:hRule="exact" w:val="320"/>
        </w:trPr>
        <w:tc>
          <w:tcPr>
            <w:tcW w:type="dxa" w:w="3302"/>
            <w:vMerge/>
            <w:tcBorders/>
          </w:tcPr>
          <w:p/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On-premise, open-source, integrated into existing UPSI infrastructure</w:t>
            </w:r>
          </w:p>
        </w:tc>
        <w:tc>
          <w:tcPr>
            <w:tcW w:type="dxa" w:w="3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Execution risk — mitigated by phased</w:t>
            </w:r>
          </w:p>
        </w:tc>
      </w:tr>
      <w:tr>
        <w:trPr>
          <w:trHeight w:hRule="exact" w:val="260"/>
        </w:trPr>
        <w:tc>
          <w:tcPr>
            <w:tcW w:type="dxa" w:w="1458"/>
            <w:vMerge w:val="restart"/>
            <w:tcBorders>
              <w:bottom w:sz="12.0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86" w:right="0" w:firstLine="0"/>
              <w:jc w:val="left"/>
            </w:pPr>
            <w:r>
              <w:rPr>
                <w:rFonts w:ascii="Liberation Serif" w:hAnsi="Liberation Serif" w:eastAsia="Liberation Serif"/>
                <w:b/>
                <w:i w:val="0"/>
                <w:color w:val="0F2027"/>
                <w:sz w:val="18"/>
              </w:rPr>
              <w:t>(chosen)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by the existing team. PDPA and IRB-compliant by architecture. RM 0</w:t>
            </w:r>
          </w:p>
        </w:tc>
        <w:tc>
          <w:tcPr>
            <w:tcW w:type="dxa" w:w="3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approach, gate reviews, and Phase 0</w:t>
            </w:r>
          </w:p>
        </w:tc>
      </w:tr>
      <w:tr>
        <w:trPr>
          <w:trHeight w:hRule="exact" w:val="260"/>
        </w:trPr>
        <w:tc>
          <w:tcPr>
            <w:tcW w:type="dxa" w:w="3302"/>
            <w:vMerge/>
            <w:tcBorders>
              <w:bottom w:sz="12.0" w:val="single" w:color="#333333"/>
            </w:tcBorders>
          </w:tcPr>
          <w:p/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software licensing. Builds internal AI capability. Architected for SEA</w:t>
            </w:r>
          </w:p>
        </w:tc>
        <w:tc>
          <w:tcPr>
            <w:tcW w:type="dxa" w:w="3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validation of three highest-impact</w:t>
            </w:r>
          </w:p>
        </w:tc>
      </w:tr>
      <w:tr>
        <w:trPr>
          <w:trHeight w:hRule="exact" w:val="372"/>
        </w:trPr>
        <w:tc>
          <w:tcPr>
            <w:tcW w:type="dxa" w:w="3302"/>
            <w:vMerge/>
            <w:tcBorders>
              <w:bottom w:sz="12.0" w:val="single" w:color="#333333"/>
            </w:tcBorders>
          </w:tcPr>
          <w:p/>
        </w:tc>
        <w:tc>
          <w:tcPr>
            <w:tcW w:type="dxa" w:w="5300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164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consortium expansion.</w:t>
            </w:r>
          </w:p>
        </w:tc>
        <w:tc>
          <w:tcPr>
            <w:tcW w:type="dxa" w:w="3128"/>
            <w:tcBorders>
              <w:bottom w:sz="12.0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333333"/>
                <w:sz w:val="18"/>
              </w:rPr>
              <w:t>unknowns</w:t>
            </w:r>
          </w:p>
        </w:tc>
      </w:tr>
    </w:tbl>
    <w:p>
      <w:pPr>
        <w:autoSpaceDN w:val="0"/>
        <w:autoSpaceDE w:val="0"/>
        <w:widowControl/>
        <w:spacing w:line="358" w:lineRule="auto" w:before="1566" w:after="0"/>
        <w:ind w:left="0" w:right="3600" w:firstLine="0"/>
        <w:jc w:val="left"/>
      </w:pPr>
      <w:r>
        <w:rPr>
          <w:rFonts w:ascii="Liberation Serif" w:hAnsi="Liberation Serif" w:eastAsia="Liberation Serif"/>
          <w:b/>
          <w:i w:val="0"/>
          <w:color w:val="0F2027"/>
          <w:sz w:val="18"/>
        </w:rPr>
        <w:t xml:space="preserve">INTERNAL · CONFIDENTIAL · UNIVERSITI PENDIDIKAN SULTAN IDRIS </w:t>
      </w:r>
      <w:r>
        <w:rPr>
          <w:rFonts w:ascii="Liberation Serif" w:hAnsi="Liberation Serif" w:eastAsia="Liberation Serif"/>
          <w:b w:val="0"/>
          <w:i w:val="0"/>
          <w:color w:val="666666"/>
          <w:sz w:val="18"/>
        </w:rPr>
        <w:t xml:space="preserve">Suluh Swarm — PRD + Technical Architecture v1.0 · July 2026 </w:t>
      </w:r>
      <w:r>
        <w:br/>
      </w:r>
      <w:r>
        <w:rPr>
          <w:rFonts w:ascii="Liberation Serif" w:hAnsi="Liberation Serif" w:eastAsia="Liberation Serif"/>
          <w:b w:val="0"/>
          <w:i w:val="0"/>
          <w:color w:val="666666"/>
          <w:sz w:val="18"/>
        </w:rPr>
        <w:t xml:space="preserve">UPSI · CAI · ICT &amp; AI Division </w:t>
      </w:r>
      <w:r>
        <w:br/>
      </w:r>
      <w:r>
        <w:rPr>
          <w:rFonts w:ascii="Liberation Serif" w:hAnsi="Liberation Serif" w:eastAsia="Liberation Serif"/>
          <w:b w:val="0"/>
          <w:i w:val="0"/>
          <w:color w:val="666666"/>
          <w:sz w:val="18"/>
        </w:rPr>
        <w:t>Page 38 of 38</w:t>
      </w:r>
    </w:p>
    <w:p>
      <w:pPr>
        <w:autoSpaceDN w:val="0"/>
        <w:autoSpaceDE w:val="0"/>
        <w:widowControl/>
        <w:spacing w:line="233" w:lineRule="auto" w:before="365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666666"/>
          <w:sz w:val="16"/>
        </w:rPr>
        <w:t>38</w:t>
      </w:r>
    </w:p>
    <w:sectPr w:rsidR="00FC693F" w:rsidRPr="0006063C" w:rsidSect="00034616">
      <w:pgSz w:w="11899" w:h="16838"/>
      <w:pgMar w:top="238" w:right="972" w:bottom="228" w:left="102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