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entury Gothic" w:cs="Century Gothic" w:eastAsia="Century Gothic" w:hAnsi="Century Gothic"/>
          <w:b w:val="1"/>
        </w:rPr>
      </w:pPr>
      <w:bookmarkStart w:colFirst="0" w:colLast="0" w:name="_bxbdues00oj7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Request for Information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RFI No.:</w:t>
        <w:tab/>
        <w:t xml:space="preserve">__________________________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Date: </w:t>
        <w:tab/>
        <w:tab/>
        <w:t xml:space="preserve">__________________________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Answer by:</w:t>
        <w:tab/>
        <w:t xml:space="preserve">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To:</w:t>
        <w:tab/>
        <w:t xml:space="preserve">__________________________</w:t>
        <w:tab/>
        <w:tab/>
        <w:tab/>
        <w:t xml:space="preserve">From:</w:t>
        <w:tab/>
        <w:t xml:space="preserve">__________________________   </w:t>
      </w:r>
    </w:p>
    <w:p w:rsidR="00000000" w:rsidDel="00000000" w:rsidP="00000000" w:rsidRDefault="00000000" w:rsidRPr="00000000" w14:paraId="00000007">
      <w:pPr>
        <w:ind w:left="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</w:t>
        <w:tab/>
        <w:tab/>
        <w:t xml:space="preserve"> </w:t>
        <w:tab/>
        <w:tab/>
        <w:t xml:space="preserve">__________________________</w:t>
      </w:r>
    </w:p>
    <w:p w:rsidR="00000000" w:rsidDel="00000000" w:rsidP="00000000" w:rsidRDefault="00000000" w:rsidRPr="00000000" w14:paraId="00000008">
      <w:pPr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</w:t>
        <w:tab/>
        <w:tab/>
        <w:tab/>
        <w:tab/>
        <w:t xml:space="preserve">__________________________</w:t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ATTN:</w:t>
        <w:tab/>
        <w:t xml:space="preserve"> __________________________</w:t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Project: </w:t>
        <w:tab/>
        <w:tab/>
        <w:t xml:space="preserve">___________________________________________________________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Ref. Drawing: </w:t>
        <w:tab/>
        <w:t xml:space="preserve">__________________________</w:t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Ref. Spec.: </w:t>
        <w:tab/>
        <w:tab/>
        <w:t xml:space="preserve">__________________________</w:t>
      </w:r>
    </w:p>
    <w:p w:rsidR="00000000" w:rsidDel="00000000" w:rsidP="00000000" w:rsidRDefault="00000000" w:rsidRPr="00000000" w14:paraId="0000000F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RFI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RFI Response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u w:val="single"/>
            <w:rtl w:val="0"/>
          </w:rPr>
          <w:t xml:space="preserve">Learn how Levelset helps contractors get paid faster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829300" cy="7543800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4380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velset.com/features/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