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India Macroeconomic Snapshot — September 2026</w:t>
      </w:r>
    </w:p>
    <w:p>
      <w:pPr>
        <w:spacing w:after="240"/>
      </w:pPr>
      <w:r>
        <w:rPr>
          <w:i/>
          <w:iCs/>
          <w:color w:val="595959"/>
          <w:sz w:val="20"/>
          <w:szCs w:val="20"/>
        </w:rPr>
        <w:t xml:space="preserve">Compiled 18 September 2026. All figures from official national statistical agencies and central banks, with reading period, comparison period and release date stated for each line. Items not yet released are marked accordingly — no estimates are substituted.</w:t>
      </w:r>
    </w:p>
    <w:p>
      <w:pPr>
        <w:pStyle w:val="Heading1"/>
        <w:pBdr>
          <w:bottom w:val="single" w:color="1F3864" w:sz="6" w:space="4"/>
        </w:pBdr>
        <w:spacing w:after="160" w:before="320"/>
      </w:pPr>
      <w:r>
        <w:t xml:space="preserve">1. India — Price Indices</w:t>
      </w:r>
    </w:p>
    <w:tbl>
      <w:tblPr>
        <w:tblW w:type="dxa" w:w="10080"/>
        <w:tblBorders>
          <w:top w:val="single" w:color="B0B0B0" w:sz="2"/>
          <w:left w:val="single" w:color="B0B0B0" w:sz="2"/>
          <w:bottom w:val="single" w:color="B0B0B0" w:sz="2"/>
          <w:right w:val="single" w:color="B0B0B0" w:sz="2"/>
          <w:insideH w:val="single" w:color="D9D9D9" w:sz="2"/>
          <w:insideV w:val="single" w:color="D9D9D9" w:sz="2"/>
        </w:tblBorders>
      </w:tblPr>
      <w:tblGrid>
        <w:gridCol w:w="1440"/>
        <w:gridCol w:w="1440"/>
        <w:gridCol w:w="1440"/>
        <w:gridCol w:w="1440"/>
        <w:gridCol w:w="1440"/>
        <w:gridCol w:w="1440"/>
        <w:gridCol w:w="1440"/>
      </w:tblGrid>
      <w:tr>
        <w:trPr>
          <w:tblHeader/>
        </w:trPr>
        <w:tc>
          <w:tcPr>
            <w:tcW w:type="dxa" w:w="1440"/>
            <w:shd w:fill="1F3864" w:color="auto" w:val="clear"/>
            <w:tcMar>
              <w:top w:type="dxa" w:w="60"/>
              <w:left w:type="dxa" w:w="100"/>
              <w:bottom w:type="dxa" w:w="60"/>
              <w:right w:type="dxa" w:w="100"/>
            </w:tcMar>
            <w:vAlign w:val="center"/>
          </w:tcPr>
          <w:p>
            <w:r>
              <w:rPr>
                <w:b/>
                <w:bCs/>
                <w:color w:val="FFFFFF"/>
                <w:sz w:val="19"/>
                <w:szCs w:val="19"/>
              </w:rPr>
              <w:t xml:space="preserve">Indicator</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Latest Value</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Reading Period</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Previous Period</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Year-Ago</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Release Date</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Source</w:t>
            </w:r>
          </w:p>
        </w:tc>
      </w:tr>
      <w:tr>
        <w:tc>
          <w:tcPr>
            <w:tcW w:type="dxa" w:w="1440"/>
            <w:tcMar>
              <w:top w:type="dxa" w:w="60"/>
              <w:left w:type="dxa" w:w="100"/>
              <w:bottom w:type="dxa" w:w="60"/>
              <w:right w:type="dxa" w:w="100"/>
            </w:tcMar>
            <w:vAlign w:val="center"/>
          </w:tcPr>
          <w:p>
            <w:r>
              <w:rPr>
                <w:b w:val="false"/>
                <w:bCs w:val="false"/>
                <w:sz w:val="19"/>
                <w:szCs w:val="19"/>
              </w:rPr>
              <w:t xml:space="preserve">CPI (Headline, YoY)</w:t>
            </w:r>
          </w:p>
        </w:tc>
        <w:tc>
          <w:tcPr>
            <w:tcW w:type="dxa" w:w="1440"/>
            <w:tcMar>
              <w:top w:type="dxa" w:w="60"/>
              <w:left w:type="dxa" w:w="100"/>
              <w:bottom w:type="dxa" w:w="60"/>
              <w:right w:type="dxa" w:w="100"/>
            </w:tcMar>
            <w:vAlign w:val="center"/>
          </w:tcPr>
          <w:p>
            <w:r>
              <w:rPr>
                <w:b w:val="false"/>
                <w:bCs w:val="false"/>
                <w:sz w:val="19"/>
                <w:szCs w:val="19"/>
              </w:rPr>
              <w:t xml:space="preserve">4.82%</w:t>
            </w:r>
          </w:p>
        </w:tc>
        <w:tc>
          <w:tcPr>
            <w:tcW w:type="dxa" w:w="1440"/>
            <w:tcMar>
              <w:top w:type="dxa" w:w="60"/>
              <w:left w:type="dxa" w:w="100"/>
              <w:bottom w:type="dxa" w:w="60"/>
              <w:right w:type="dxa" w:w="100"/>
            </w:tcMar>
            <w:vAlign w:val="center"/>
          </w:tcPr>
          <w:p>
            <w:r>
              <w:rPr>
                <w:b w:val="false"/>
                <w:bCs w:val="false"/>
                <w:sz w:val="19"/>
                <w:szCs w:val="19"/>
              </w:rPr>
              <w:t xml:space="preserve">Aug 2026</w:t>
            </w:r>
          </w:p>
        </w:tc>
        <w:tc>
          <w:tcPr>
            <w:tcW w:type="dxa" w:w="1440"/>
            <w:tcMar>
              <w:top w:type="dxa" w:w="60"/>
              <w:left w:type="dxa" w:w="100"/>
              <w:bottom w:type="dxa" w:w="60"/>
              <w:right w:type="dxa" w:w="100"/>
            </w:tcMar>
            <w:vAlign w:val="center"/>
          </w:tcPr>
          <w:p>
            <w:r>
              <w:rPr>
                <w:b w:val="false"/>
                <w:bCs w:val="false"/>
                <w:sz w:val="19"/>
                <w:szCs w:val="19"/>
              </w:rPr>
              <w:t xml:space="preserve">4.45% (Jul 2026)</w:t>
            </w:r>
          </w:p>
        </w:tc>
        <w:tc>
          <w:tcPr>
            <w:tcW w:type="dxa" w:w="1440"/>
            <w:tcMar>
              <w:top w:type="dxa" w:w="60"/>
              <w:left w:type="dxa" w:w="100"/>
              <w:bottom w:type="dxa" w:w="60"/>
              <w:right w:type="dxa" w:w="100"/>
            </w:tcMar>
            <w:vAlign w:val="center"/>
          </w:tcPr>
          <w:p>
            <w:r>
              <w:rPr>
                <w:b w:val="false"/>
                <w:bCs w:val="false"/>
                <w:sz w:val="19"/>
                <w:szCs w:val="19"/>
              </w:rPr>
              <w:t xml:space="preserve">2.07% (Aug 2025)</w:t>
            </w:r>
          </w:p>
        </w:tc>
        <w:tc>
          <w:tcPr>
            <w:tcW w:type="dxa" w:w="1440"/>
            <w:tcMar>
              <w:top w:type="dxa" w:w="60"/>
              <w:left w:type="dxa" w:w="100"/>
              <w:bottom w:type="dxa" w:w="60"/>
              <w:right w:type="dxa" w:w="100"/>
            </w:tcMar>
            <w:vAlign w:val="center"/>
          </w:tcPr>
          <w:p>
            <w:r>
              <w:rPr>
                <w:b w:val="false"/>
                <w:bCs w:val="false"/>
                <w:sz w:val="19"/>
                <w:szCs w:val="19"/>
              </w:rPr>
              <w:t xml:space="preserve">14 Sep 2026</w:t>
            </w:r>
          </w:p>
        </w:tc>
        <w:tc>
          <w:tcPr>
            <w:tcW w:type="dxa" w:w="1440"/>
            <w:tcMar>
              <w:top w:type="dxa" w:w="60"/>
              <w:left w:type="dxa" w:w="100"/>
              <w:bottom w:type="dxa" w:w="60"/>
              <w:right w:type="dxa" w:w="100"/>
            </w:tcMar>
            <w:vAlign w:val="center"/>
          </w:tcPr>
          <w:p>
            <w:r>
              <w:rPr>
                <w:b w:val="false"/>
                <w:bCs w:val="false"/>
                <w:sz w:val="19"/>
                <w:szCs w:val="19"/>
              </w:rPr>
              <w:t xml:space="preserve">MoSPI / PIB</w:t>
            </w:r>
          </w:p>
        </w:tc>
      </w:tr>
      <w:tr>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CPI Food (CFPI, YoY)</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5.95%</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not separately confirmed</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not separately confirmed</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14 Sep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MoSPI / PIB</w:t>
            </w:r>
          </w:p>
        </w:tc>
      </w:tr>
      <w:tr>
        <w:tc>
          <w:tcPr>
            <w:tcW w:type="dxa" w:w="1440"/>
            <w:tcMar>
              <w:top w:type="dxa" w:w="60"/>
              <w:left w:type="dxa" w:w="100"/>
              <w:bottom w:type="dxa" w:w="60"/>
              <w:right w:type="dxa" w:w="100"/>
            </w:tcMar>
            <w:vAlign w:val="center"/>
          </w:tcPr>
          <w:p>
            <w:r>
              <w:rPr>
                <w:b w:val="false"/>
                <w:bCs w:val="false"/>
                <w:sz w:val="19"/>
                <w:szCs w:val="19"/>
              </w:rPr>
              <w:t xml:space="preserve">— Rural CFPI</w:t>
            </w:r>
          </w:p>
        </w:tc>
        <w:tc>
          <w:tcPr>
            <w:tcW w:type="dxa" w:w="1440"/>
            <w:tcMar>
              <w:top w:type="dxa" w:w="60"/>
              <w:left w:type="dxa" w:w="100"/>
              <w:bottom w:type="dxa" w:w="60"/>
              <w:right w:type="dxa" w:w="100"/>
            </w:tcMar>
            <w:vAlign w:val="center"/>
          </w:tcPr>
          <w:p>
            <w:r>
              <w:rPr>
                <w:b w:val="false"/>
                <w:bCs w:val="false"/>
                <w:sz w:val="19"/>
                <w:szCs w:val="19"/>
              </w:rPr>
              <w:t xml:space="preserve">6.13%</w:t>
            </w:r>
          </w:p>
        </w:tc>
        <w:tc>
          <w:tcPr>
            <w:tcW w:type="dxa" w:w="1440"/>
            <w:tcMar>
              <w:top w:type="dxa" w:w="60"/>
              <w:left w:type="dxa" w:w="100"/>
              <w:bottom w:type="dxa" w:w="60"/>
              <w:right w:type="dxa" w:w="100"/>
            </w:tcMar>
            <w:vAlign w:val="center"/>
          </w:tcPr>
          <w:p>
            <w:r>
              <w:rPr>
                <w:b w:val="false"/>
                <w:bCs w:val="false"/>
                <w:sz w:val="19"/>
                <w:szCs w:val="19"/>
              </w:rPr>
              <w:t xml:space="preserve">Aug 2026</w:t>
            </w:r>
          </w:p>
        </w:tc>
        <w:tc>
          <w:tcPr>
            <w:tcW w:type="dxa" w:w="1440"/>
            <w:tcMar>
              <w:top w:type="dxa" w:w="60"/>
              <w:left w:type="dxa" w:w="100"/>
              <w:bottom w:type="dxa" w:w="60"/>
              <w:right w:type="dxa" w:w="100"/>
            </w:tcMar>
            <w:vAlign w:val="center"/>
          </w:tcPr>
          <w:p>
            <w:r>
              <w:rPr>
                <w:b w:val="false"/>
                <w:bCs w:val="false"/>
                <w:sz w:val="19"/>
                <w:szCs w:val="19"/>
              </w:rPr>
              <w:t xml:space="preserve">—</w:t>
            </w:r>
          </w:p>
        </w:tc>
        <w:tc>
          <w:tcPr>
            <w:tcW w:type="dxa" w:w="1440"/>
            <w:tcMar>
              <w:top w:type="dxa" w:w="60"/>
              <w:left w:type="dxa" w:w="100"/>
              <w:bottom w:type="dxa" w:w="60"/>
              <w:right w:type="dxa" w:w="100"/>
            </w:tcMar>
            <w:vAlign w:val="center"/>
          </w:tcPr>
          <w:p>
            <w:r>
              <w:rPr>
                <w:b w:val="false"/>
                <w:bCs w:val="false"/>
                <w:sz w:val="19"/>
                <w:szCs w:val="19"/>
              </w:rPr>
              <w:t xml:space="preserve">—</w:t>
            </w:r>
          </w:p>
        </w:tc>
        <w:tc>
          <w:tcPr>
            <w:tcW w:type="dxa" w:w="1440"/>
            <w:tcMar>
              <w:top w:type="dxa" w:w="60"/>
              <w:left w:type="dxa" w:w="100"/>
              <w:bottom w:type="dxa" w:w="60"/>
              <w:right w:type="dxa" w:w="100"/>
            </w:tcMar>
            <w:vAlign w:val="center"/>
          </w:tcPr>
          <w:p>
            <w:r>
              <w:rPr>
                <w:b w:val="false"/>
                <w:bCs w:val="false"/>
                <w:sz w:val="19"/>
                <w:szCs w:val="19"/>
              </w:rPr>
              <w:t xml:space="preserve">14 Sep 2026</w:t>
            </w:r>
          </w:p>
        </w:tc>
        <w:tc>
          <w:tcPr>
            <w:tcW w:type="dxa" w:w="1440"/>
            <w:tcMar>
              <w:top w:type="dxa" w:w="60"/>
              <w:left w:type="dxa" w:w="100"/>
              <w:bottom w:type="dxa" w:w="60"/>
              <w:right w:type="dxa" w:w="100"/>
            </w:tcMar>
            <w:vAlign w:val="center"/>
          </w:tcPr>
          <w:p>
            <w:r>
              <w:rPr>
                <w:b w:val="false"/>
                <w:bCs w:val="false"/>
                <w:sz w:val="19"/>
                <w:szCs w:val="19"/>
              </w:rPr>
              <w:t xml:space="preserve">MoSPI</w:t>
            </w:r>
          </w:p>
        </w:tc>
      </w:tr>
      <w:tr>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 Urban CFPI</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5.64%</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14 Sep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MoSPI</w:t>
            </w:r>
          </w:p>
        </w:tc>
      </w:tr>
      <w:tr>
        <w:tc>
          <w:tcPr>
            <w:tcW w:type="dxa" w:w="1440"/>
            <w:tcMar>
              <w:top w:type="dxa" w:w="60"/>
              <w:left w:type="dxa" w:w="100"/>
              <w:bottom w:type="dxa" w:w="60"/>
              <w:right w:type="dxa" w:w="100"/>
            </w:tcMar>
            <w:vAlign w:val="center"/>
          </w:tcPr>
          <w:p>
            <w:r>
              <w:rPr>
                <w:b w:val="false"/>
                <w:bCs w:val="false"/>
                <w:sz w:val="19"/>
                <w:szCs w:val="19"/>
              </w:rPr>
              <w:t xml:space="preserve">CPI Core (ex food &amp; fuel)</w:t>
            </w:r>
          </w:p>
        </w:tc>
        <w:tc>
          <w:tcPr>
            <w:tcW w:type="dxa" w:w="1440"/>
            <w:tcMar>
              <w:top w:type="dxa" w:w="60"/>
              <w:left w:type="dxa" w:w="100"/>
              <w:bottom w:type="dxa" w:w="60"/>
              <w:right w:type="dxa" w:w="100"/>
            </w:tcMar>
            <w:vAlign w:val="center"/>
          </w:tcPr>
          <w:p>
            <w:r>
              <w:rPr>
                <w:b w:val="false"/>
                <w:bCs w:val="false"/>
                <w:sz w:val="19"/>
                <w:szCs w:val="19"/>
              </w:rPr>
              <w:t xml:space="preserve">not published as a standalone official headline figure by MoSPI</w:t>
            </w:r>
          </w:p>
        </w:tc>
        <w:tc>
          <w:tcPr>
            <w:tcW w:type="dxa" w:w="1440"/>
            <w:tcMar>
              <w:top w:type="dxa" w:w="60"/>
              <w:left w:type="dxa" w:w="100"/>
              <w:bottom w:type="dxa" w:w="60"/>
              <w:right w:type="dxa" w:w="100"/>
            </w:tcMar>
            <w:vAlign w:val="center"/>
          </w:tcPr>
          <w:p>
            <w:r>
              <w:rPr>
                <w:b w:val="false"/>
                <w:bCs w:val="false"/>
                <w:sz w:val="19"/>
                <w:szCs w:val="19"/>
              </w:rPr>
              <w:t xml:space="preserve">—</w:t>
            </w:r>
          </w:p>
        </w:tc>
        <w:tc>
          <w:tcPr>
            <w:tcW w:type="dxa" w:w="1440"/>
            <w:tcMar>
              <w:top w:type="dxa" w:w="60"/>
              <w:left w:type="dxa" w:w="100"/>
              <w:bottom w:type="dxa" w:w="60"/>
              <w:right w:type="dxa" w:w="100"/>
            </w:tcMar>
            <w:vAlign w:val="center"/>
          </w:tcPr>
          <w:p>
            <w:r>
              <w:rPr>
                <w:b w:val="false"/>
                <w:bCs w:val="false"/>
                <w:sz w:val="19"/>
                <w:szCs w:val="19"/>
              </w:rPr>
              <w:t xml:space="preserve">—</w:t>
            </w:r>
          </w:p>
        </w:tc>
        <w:tc>
          <w:tcPr>
            <w:tcW w:type="dxa" w:w="1440"/>
            <w:tcMar>
              <w:top w:type="dxa" w:w="60"/>
              <w:left w:type="dxa" w:w="100"/>
              <w:bottom w:type="dxa" w:w="60"/>
              <w:right w:type="dxa" w:w="100"/>
            </w:tcMar>
            <w:vAlign w:val="center"/>
          </w:tcPr>
          <w:p>
            <w:r>
              <w:rPr>
                <w:b w:val="false"/>
                <w:bCs w:val="false"/>
                <w:sz w:val="19"/>
                <w:szCs w:val="19"/>
              </w:rPr>
              <w:t xml:space="preserve">—</w:t>
            </w:r>
          </w:p>
        </w:tc>
        <w:tc>
          <w:tcPr>
            <w:tcW w:type="dxa" w:w="1440"/>
            <w:tcMar>
              <w:top w:type="dxa" w:w="60"/>
              <w:left w:type="dxa" w:w="100"/>
              <w:bottom w:type="dxa" w:w="60"/>
              <w:right w:type="dxa" w:w="100"/>
            </w:tcMar>
            <w:vAlign w:val="center"/>
          </w:tcPr>
          <w:p>
            <w:r>
              <w:rPr>
                <w:b w:val="false"/>
                <w:bCs w:val="false"/>
                <w:sz w:val="19"/>
                <w:szCs w:val="19"/>
              </w:rPr>
              <w:t xml:space="preserve">—</w:t>
            </w:r>
          </w:p>
        </w:tc>
        <w:tc>
          <w:tcPr>
            <w:tcW w:type="dxa" w:w="1440"/>
            <w:tcMar>
              <w:top w:type="dxa" w:w="60"/>
              <w:left w:type="dxa" w:w="100"/>
              <w:bottom w:type="dxa" w:w="60"/>
              <w:right w:type="dxa" w:w="100"/>
            </w:tcMar>
            <w:vAlign w:val="center"/>
          </w:tcPr>
          <w:p>
            <w:r>
              <w:rPr>
                <w:b w:val="false"/>
                <w:bCs w:val="false"/>
                <w:sz w:val="19"/>
                <w:szCs w:val="19"/>
              </w:rPr>
              <w:t xml:space="preserve">MoSPI</w:t>
            </w:r>
          </w:p>
        </w:tc>
      </w:tr>
      <w:tr>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WPI (All Commodities, YoY)</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9.92%</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Aug 2026 (provisional)</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9.78% (Jul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0.52% (Aug 2025)</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14 Sep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Office of Economic Adviser, Ministry of Commerce &amp; Industry</w:t>
            </w:r>
          </w:p>
        </w:tc>
      </w:tr>
      <w:tr>
        <w:tc>
          <w:tcPr>
            <w:tcW w:type="dxa" w:w="1440"/>
            <w:tcMar>
              <w:top w:type="dxa" w:w="60"/>
              <w:left w:type="dxa" w:w="100"/>
              <w:bottom w:type="dxa" w:w="60"/>
              <w:right w:type="dxa" w:w="100"/>
            </w:tcMar>
            <w:vAlign w:val="center"/>
          </w:tcPr>
          <w:p>
            <w:r>
              <w:rPr>
                <w:b w:val="false"/>
                <w:bCs w:val="false"/>
                <w:sz w:val="19"/>
                <w:szCs w:val="19"/>
              </w:rPr>
              <w:t xml:space="preserve">— WPI Primary Articles</w:t>
            </w:r>
          </w:p>
        </w:tc>
        <w:tc>
          <w:tcPr>
            <w:tcW w:type="dxa" w:w="1440"/>
            <w:tcMar>
              <w:top w:type="dxa" w:w="60"/>
              <w:left w:type="dxa" w:w="100"/>
              <w:bottom w:type="dxa" w:w="60"/>
              <w:right w:type="dxa" w:w="100"/>
            </w:tcMar>
            <w:vAlign w:val="center"/>
          </w:tcPr>
          <w:p>
            <w:r>
              <w:rPr>
                <w:b w:val="false"/>
                <w:bCs w:val="false"/>
                <w:sz w:val="19"/>
                <w:szCs w:val="19"/>
              </w:rPr>
              <w:t xml:space="preserve">7.76%</w:t>
            </w:r>
          </w:p>
        </w:tc>
        <w:tc>
          <w:tcPr>
            <w:tcW w:type="dxa" w:w="1440"/>
            <w:tcMar>
              <w:top w:type="dxa" w:w="60"/>
              <w:left w:type="dxa" w:w="100"/>
              <w:bottom w:type="dxa" w:w="60"/>
              <w:right w:type="dxa" w:w="100"/>
            </w:tcMar>
            <w:vAlign w:val="center"/>
          </w:tcPr>
          <w:p>
            <w:r>
              <w:rPr>
                <w:b w:val="false"/>
                <w:bCs w:val="false"/>
                <w:sz w:val="19"/>
                <w:szCs w:val="19"/>
              </w:rPr>
              <w:t xml:space="preserve">Aug 2026</w:t>
            </w:r>
          </w:p>
        </w:tc>
        <w:tc>
          <w:tcPr>
            <w:tcW w:type="dxa" w:w="1440"/>
            <w:tcMar>
              <w:top w:type="dxa" w:w="60"/>
              <w:left w:type="dxa" w:w="100"/>
              <w:bottom w:type="dxa" w:w="60"/>
              <w:right w:type="dxa" w:w="100"/>
            </w:tcMar>
            <w:vAlign w:val="center"/>
          </w:tcPr>
          <w:p>
            <w:r>
              <w:rPr>
                <w:b w:val="false"/>
                <w:bCs w:val="false"/>
                <w:sz w:val="19"/>
                <w:szCs w:val="19"/>
              </w:rPr>
              <w:t xml:space="preserve">8.52% (Jul 2026)</w:t>
            </w:r>
          </w:p>
        </w:tc>
        <w:tc>
          <w:tcPr>
            <w:tcW w:type="dxa" w:w="1440"/>
            <w:tcMar>
              <w:top w:type="dxa" w:w="60"/>
              <w:left w:type="dxa" w:w="100"/>
              <w:bottom w:type="dxa" w:w="60"/>
              <w:right w:type="dxa" w:w="100"/>
            </w:tcMar>
            <w:vAlign w:val="center"/>
          </w:tcPr>
          <w:p>
            <w:r>
              <w:rPr>
                <w:b w:val="false"/>
                <w:bCs w:val="false"/>
                <w:sz w:val="19"/>
                <w:szCs w:val="19"/>
              </w:rPr>
              <w:t xml:space="preserve">not yet released</w:t>
            </w:r>
          </w:p>
        </w:tc>
        <w:tc>
          <w:tcPr>
            <w:tcW w:type="dxa" w:w="1440"/>
            <w:tcMar>
              <w:top w:type="dxa" w:w="60"/>
              <w:left w:type="dxa" w:w="100"/>
              <w:bottom w:type="dxa" w:w="60"/>
              <w:right w:type="dxa" w:w="100"/>
            </w:tcMar>
            <w:vAlign w:val="center"/>
          </w:tcPr>
          <w:p>
            <w:r>
              <w:rPr>
                <w:b w:val="false"/>
                <w:bCs w:val="false"/>
                <w:sz w:val="19"/>
                <w:szCs w:val="19"/>
              </w:rPr>
              <w:t xml:space="preserve">14 Sep 2026</w:t>
            </w:r>
          </w:p>
        </w:tc>
        <w:tc>
          <w:tcPr>
            <w:tcW w:type="dxa" w:w="1440"/>
            <w:tcMar>
              <w:top w:type="dxa" w:w="60"/>
              <w:left w:type="dxa" w:w="100"/>
              <w:bottom w:type="dxa" w:w="60"/>
              <w:right w:type="dxa" w:w="100"/>
            </w:tcMar>
            <w:vAlign w:val="center"/>
          </w:tcPr>
          <w:p>
            <w:r>
              <w:rPr>
                <w:b w:val="false"/>
                <w:bCs w:val="false"/>
                <w:sz w:val="19"/>
                <w:szCs w:val="19"/>
              </w:rPr>
              <w:t xml:space="preserve">OEA</w:t>
            </w:r>
          </w:p>
        </w:tc>
      </w:tr>
      <w:tr>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 WPI Fuel &amp; Power</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22.93%</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20.05% (Jul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not yet released</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14 Sep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OEA</w:t>
            </w:r>
          </w:p>
        </w:tc>
      </w:tr>
      <w:tr>
        <w:tc>
          <w:tcPr>
            <w:tcW w:type="dxa" w:w="1440"/>
            <w:tcMar>
              <w:top w:type="dxa" w:w="60"/>
              <w:left w:type="dxa" w:w="100"/>
              <w:bottom w:type="dxa" w:w="60"/>
              <w:right w:type="dxa" w:w="100"/>
            </w:tcMar>
            <w:vAlign w:val="center"/>
          </w:tcPr>
          <w:p>
            <w:r>
              <w:rPr>
                <w:b w:val="false"/>
                <w:bCs w:val="false"/>
                <w:sz w:val="19"/>
                <w:szCs w:val="19"/>
              </w:rPr>
              <w:t xml:space="preserve">— WPI Manufactured Products</w:t>
            </w:r>
          </w:p>
        </w:tc>
        <w:tc>
          <w:tcPr>
            <w:tcW w:type="dxa" w:w="1440"/>
            <w:tcMar>
              <w:top w:type="dxa" w:w="60"/>
              <w:left w:type="dxa" w:w="100"/>
              <w:bottom w:type="dxa" w:w="60"/>
              <w:right w:type="dxa" w:w="100"/>
            </w:tcMar>
            <w:vAlign w:val="center"/>
          </w:tcPr>
          <w:p>
            <w:r>
              <w:rPr>
                <w:b w:val="false"/>
                <w:bCs w:val="false"/>
                <w:sz w:val="19"/>
                <w:szCs w:val="19"/>
              </w:rPr>
              <w:t xml:space="preserve">8.37%</w:t>
            </w:r>
          </w:p>
        </w:tc>
        <w:tc>
          <w:tcPr>
            <w:tcW w:type="dxa" w:w="1440"/>
            <w:tcMar>
              <w:top w:type="dxa" w:w="60"/>
              <w:left w:type="dxa" w:w="100"/>
              <w:bottom w:type="dxa" w:w="60"/>
              <w:right w:type="dxa" w:w="100"/>
            </w:tcMar>
            <w:vAlign w:val="center"/>
          </w:tcPr>
          <w:p>
            <w:r>
              <w:rPr>
                <w:b w:val="false"/>
                <w:bCs w:val="false"/>
                <w:sz w:val="19"/>
                <w:szCs w:val="19"/>
              </w:rPr>
              <w:t xml:space="preserve">Aug 2026</w:t>
            </w:r>
          </w:p>
        </w:tc>
        <w:tc>
          <w:tcPr>
            <w:tcW w:type="dxa" w:w="1440"/>
            <w:tcMar>
              <w:top w:type="dxa" w:w="60"/>
              <w:left w:type="dxa" w:w="100"/>
              <w:bottom w:type="dxa" w:w="60"/>
              <w:right w:type="dxa" w:w="100"/>
            </w:tcMar>
            <w:vAlign w:val="center"/>
          </w:tcPr>
          <w:p>
            <w:r>
              <w:rPr>
                <w:b w:val="false"/>
                <w:bCs w:val="false"/>
                <w:sz w:val="19"/>
                <w:szCs w:val="19"/>
              </w:rPr>
              <w:t xml:space="preserve">8.29% (Jul 2026)</w:t>
            </w:r>
          </w:p>
        </w:tc>
        <w:tc>
          <w:tcPr>
            <w:tcW w:type="dxa" w:w="1440"/>
            <w:tcMar>
              <w:top w:type="dxa" w:w="60"/>
              <w:left w:type="dxa" w:w="100"/>
              <w:bottom w:type="dxa" w:w="60"/>
              <w:right w:type="dxa" w:w="100"/>
            </w:tcMar>
            <w:vAlign w:val="center"/>
          </w:tcPr>
          <w:p>
            <w:r>
              <w:rPr>
                <w:b w:val="false"/>
                <w:bCs w:val="false"/>
                <w:sz w:val="19"/>
                <w:szCs w:val="19"/>
              </w:rPr>
              <w:t xml:space="preserve">not yet released</w:t>
            </w:r>
          </w:p>
        </w:tc>
        <w:tc>
          <w:tcPr>
            <w:tcW w:type="dxa" w:w="1440"/>
            <w:tcMar>
              <w:top w:type="dxa" w:w="60"/>
              <w:left w:type="dxa" w:w="100"/>
              <w:bottom w:type="dxa" w:w="60"/>
              <w:right w:type="dxa" w:w="100"/>
            </w:tcMar>
            <w:vAlign w:val="center"/>
          </w:tcPr>
          <w:p>
            <w:r>
              <w:rPr>
                <w:b w:val="false"/>
                <w:bCs w:val="false"/>
                <w:sz w:val="19"/>
                <w:szCs w:val="19"/>
              </w:rPr>
              <w:t xml:space="preserve">14 Sep 2026</w:t>
            </w:r>
          </w:p>
        </w:tc>
        <w:tc>
          <w:tcPr>
            <w:tcW w:type="dxa" w:w="1440"/>
            <w:tcMar>
              <w:top w:type="dxa" w:w="60"/>
              <w:left w:type="dxa" w:w="100"/>
              <w:bottom w:type="dxa" w:w="60"/>
              <w:right w:type="dxa" w:w="100"/>
            </w:tcMar>
            <w:vAlign w:val="center"/>
          </w:tcPr>
          <w:p>
            <w:r>
              <w:rPr>
                <w:b w:val="false"/>
                <w:bCs w:val="false"/>
                <w:sz w:val="19"/>
                <w:szCs w:val="19"/>
              </w:rPr>
              <w:t xml:space="preserve">OEA</w:t>
            </w:r>
          </w:p>
        </w:tc>
      </w:tr>
    </w:tbl>
    <w:p>
      <w:pPr>
        <w:spacing w:after="160"/>
      </w:pPr>
    </w:p>
    <w:p>
      <w:pPr>
        <w:pStyle w:val="Heading1"/>
        <w:pBdr>
          <w:bottom w:val="single" w:color="1F3864" w:sz="6" w:space="4"/>
        </w:pBdr>
        <w:spacing w:after="160" w:before="320"/>
      </w:pPr>
      <w:r>
        <w:t xml:space="preserve">2. India — Index of Industrial Production (IIP)</w:t>
      </w:r>
    </w:p>
    <w:tbl>
      <w:tblPr>
        <w:tblW w:type="dxa" w:w="10080"/>
        <w:tblBorders>
          <w:top w:val="single" w:color="B0B0B0" w:sz="2"/>
          <w:left w:val="single" w:color="B0B0B0" w:sz="2"/>
          <w:bottom w:val="single" w:color="B0B0B0" w:sz="2"/>
          <w:right w:val="single" w:color="B0B0B0" w:sz="2"/>
          <w:insideH w:val="single" w:color="D9D9D9" w:sz="2"/>
          <w:insideV w:val="single" w:color="D9D9D9" w:sz="2"/>
        </w:tblBorders>
      </w:tblPr>
      <w:tblGrid>
        <w:gridCol w:w="1440"/>
        <w:gridCol w:w="1440"/>
        <w:gridCol w:w="1440"/>
        <w:gridCol w:w="1440"/>
        <w:gridCol w:w="1440"/>
        <w:gridCol w:w="1440"/>
        <w:gridCol w:w="1440"/>
      </w:tblGrid>
      <w:tr>
        <w:trPr>
          <w:tblHeader/>
        </w:trPr>
        <w:tc>
          <w:tcPr>
            <w:tcW w:type="dxa" w:w="1440"/>
            <w:shd w:fill="1F3864" w:color="auto" w:val="clear"/>
            <w:tcMar>
              <w:top w:type="dxa" w:w="60"/>
              <w:left w:type="dxa" w:w="100"/>
              <w:bottom w:type="dxa" w:w="60"/>
              <w:right w:type="dxa" w:w="100"/>
            </w:tcMar>
            <w:vAlign w:val="center"/>
          </w:tcPr>
          <w:p>
            <w:r>
              <w:rPr>
                <w:b/>
                <w:bCs/>
                <w:color w:val="FFFFFF"/>
                <w:sz w:val="19"/>
                <w:szCs w:val="19"/>
              </w:rPr>
              <w:t xml:space="preserve">Indicator</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Latest Value (YoY)</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Reading Period</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Previous Period</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Year-Ago</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Release Date</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Source</w:t>
            </w:r>
          </w:p>
        </w:tc>
      </w:tr>
      <w:tr>
        <w:tc>
          <w:tcPr>
            <w:tcW w:type="dxa" w:w="1440"/>
            <w:tcMar>
              <w:top w:type="dxa" w:w="60"/>
              <w:left w:type="dxa" w:w="100"/>
              <w:bottom w:type="dxa" w:w="60"/>
              <w:right w:type="dxa" w:w="100"/>
            </w:tcMar>
            <w:vAlign w:val="center"/>
          </w:tcPr>
          <w:p>
            <w:r>
              <w:rPr>
                <w:b w:val="false"/>
                <w:bCs w:val="false"/>
                <w:sz w:val="19"/>
                <w:szCs w:val="19"/>
              </w:rPr>
              <w:t xml:space="preserve">IIP — General/Overall</w:t>
            </w:r>
          </w:p>
        </w:tc>
        <w:tc>
          <w:tcPr>
            <w:tcW w:type="dxa" w:w="1440"/>
            <w:tcMar>
              <w:top w:type="dxa" w:w="60"/>
              <w:left w:type="dxa" w:w="100"/>
              <w:bottom w:type="dxa" w:w="60"/>
              <w:right w:type="dxa" w:w="100"/>
            </w:tcMar>
            <w:vAlign w:val="center"/>
          </w:tcPr>
          <w:p>
            <w:r>
              <w:rPr>
                <w:b w:val="false"/>
                <w:bCs w:val="false"/>
                <w:sz w:val="19"/>
                <w:szCs w:val="19"/>
              </w:rPr>
              <w:t xml:space="preserve">6.7%</w:t>
            </w:r>
          </w:p>
        </w:tc>
        <w:tc>
          <w:tcPr>
            <w:tcW w:type="dxa" w:w="1440"/>
            <w:tcMar>
              <w:top w:type="dxa" w:w="60"/>
              <w:left w:type="dxa" w:w="100"/>
              <w:bottom w:type="dxa" w:w="60"/>
              <w:right w:type="dxa" w:w="100"/>
            </w:tcMar>
            <w:vAlign w:val="center"/>
          </w:tcPr>
          <w:p>
            <w:r>
              <w:rPr>
                <w:b w:val="false"/>
                <w:bCs w:val="false"/>
                <w:sz w:val="19"/>
                <w:szCs w:val="19"/>
              </w:rPr>
              <w:t xml:space="preserve">Jul 2026</w:t>
            </w:r>
          </w:p>
        </w:tc>
        <w:tc>
          <w:tcPr>
            <w:tcW w:type="dxa" w:w="1440"/>
            <w:tcMar>
              <w:top w:type="dxa" w:w="60"/>
              <w:left w:type="dxa" w:w="100"/>
              <w:bottom w:type="dxa" w:w="60"/>
              <w:right w:type="dxa" w:w="100"/>
            </w:tcMar>
            <w:vAlign w:val="center"/>
          </w:tcPr>
          <w:p>
            <w:r>
              <w:rPr>
                <w:b w:val="false"/>
                <w:bCs w:val="false"/>
                <w:sz w:val="19"/>
                <w:szCs w:val="19"/>
              </w:rPr>
              <w:t xml:space="preserve">7.3% (Jun 2026)</w:t>
            </w:r>
          </w:p>
        </w:tc>
        <w:tc>
          <w:tcPr>
            <w:tcW w:type="dxa" w:w="1440"/>
            <w:tcMar>
              <w:top w:type="dxa" w:w="60"/>
              <w:left w:type="dxa" w:w="100"/>
              <w:bottom w:type="dxa" w:w="60"/>
              <w:right w:type="dxa" w:w="100"/>
            </w:tcMar>
            <w:vAlign w:val="center"/>
          </w:tcPr>
          <w:p>
            <w:r>
              <w:rPr>
                <w:b w:val="false"/>
                <w:bCs w:val="false"/>
                <w:sz w:val="19"/>
                <w:szCs w:val="19"/>
              </w:rPr>
              <w:t xml:space="preserve">3.5% (Jul 2025)</w:t>
            </w:r>
          </w:p>
        </w:tc>
        <w:tc>
          <w:tcPr>
            <w:tcW w:type="dxa" w:w="1440"/>
            <w:tcMar>
              <w:top w:type="dxa" w:w="60"/>
              <w:left w:type="dxa" w:w="100"/>
              <w:bottom w:type="dxa" w:w="60"/>
              <w:right w:type="dxa" w:w="100"/>
            </w:tcMar>
            <w:vAlign w:val="center"/>
          </w:tcPr>
          <w:p>
            <w:r>
              <w:rPr>
                <w:b w:val="false"/>
                <w:bCs w:val="false"/>
                <w:sz w:val="19"/>
                <w:szCs w:val="19"/>
              </w:rPr>
              <w:t xml:space="preserve">Aug 2026 (Quick Estimates)</w:t>
            </w:r>
          </w:p>
        </w:tc>
        <w:tc>
          <w:tcPr>
            <w:tcW w:type="dxa" w:w="1440"/>
            <w:tcMar>
              <w:top w:type="dxa" w:w="60"/>
              <w:left w:type="dxa" w:w="100"/>
              <w:bottom w:type="dxa" w:w="60"/>
              <w:right w:type="dxa" w:w="100"/>
            </w:tcMar>
            <w:vAlign w:val="center"/>
          </w:tcPr>
          <w:p>
            <w:r>
              <w:rPr>
                <w:b w:val="false"/>
                <w:bCs w:val="false"/>
                <w:sz w:val="19"/>
                <w:szCs w:val="19"/>
              </w:rPr>
              <w:t xml:space="preserve">MoSPI</w:t>
            </w:r>
          </w:p>
        </w:tc>
      </w:tr>
      <w:tr>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IIP — Manufacturing</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7.3%</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Jul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not separately confirmed</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5.4% (Jul 2025)</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MoSPI</w:t>
            </w:r>
          </w:p>
        </w:tc>
      </w:tr>
      <w:tr>
        <w:tc>
          <w:tcPr>
            <w:tcW w:type="dxa" w:w="1440"/>
            <w:tcMar>
              <w:top w:type="dxa" w:w="60"/>
              <w:left w:type="dxa" w:w="100"/>
              <w:bottom w:type="dxa" w:w="60"/>
              <w:right w:type="dxa" w:w="100"/>
            </w:tcMar>
            <w:vAlign w:val="center"/>
          </w:tcPr>
          <w:p>
            <w:r>
              <w:rPr>
                <w:b w:val="false"/>
                <w:bCs w:val="false"/>
                <w:sz w:val="19"/>
                <w:szCs w:val="19"/>
              </w:rPr>
              <w:t xml:space="preserve">IIP — Mining</w:t>
            </w:r>
          </w:p>
        </w:tc>
        <w:tc>
          <w:tcPr>
            <w:tcW w:type="dxa" w:w="1440"/>
            <w:tcMar>
              <w:top w:type="dxa" w:w="60"/>
              <w:left w:type="dxa" w:w="100"/>
              <w:bottom w:type="dxa" w:w="60"/>
              <w:right w:type="dxa" w:w="100"/>
            </w:tcMar>
            <w:vAlign w:val="center"/>
          </w:tcPr>
          <w:p>
            <w:r>
              <w:rPr>
                <w:b w:val="false"/>
                <w:bCs w:val="false"/>
                <w:sz w:val="19"/>
                <w:szCs w:val="19"/>
              </w:rPr>
              <w:t xml:space="preserve">-0.9%</w:t>
            </w:r>
          </w:p>
        </w:tc>
        <w:tc>
          <w:tcPr>
            <w:tcW w:type="dxa" w:w="1440"/>
            <w:tcMar>
              <w:top w:type="dxa" w:w="60"/>
              <w:left w:type="dxa" w:w="100"/>
              <w:bottom w:type="dxa" w:w="60"/>
              <w:right w:type="dxa" w:w="100"/>
            </w:tcMar>
            <w:vAlign w:val="center"/>
          </w:tcPr>
          <w:p>
            <w:r>
              <w:rPr>
                <w:b w:val="false"/>
                <w:bCs w:val="false"/>
                <w:sz w:val="19"/>
                <w:szCs w:val="19"/>
              </w:rPr>
              <w:t xml:space="preserve">Jul 2026</w:t>
            </w:r>
          </w:p>
        </w:tc>
        <w:tc>
          <w:tcPr>
            <w:tcW w:type="dxa" w:w="1440"/>
            <w:tcMar>
              <w:top w:type="dxa" w:w="60"/>
              <w:left w:type="dxa" w:w="100"/>
              <w:bottom w:type="dxa" w:w="60"/>
              <w:right w:type="dxa" w:w="100"/>
            </w:tcMar>
            <w:vAlign w:val="center"/>
          </w:tcPr>
          <w:p>
            <w:r>
              <w:rPr>
                <w:b w:val="false"/>
                <w:bCs w:val="false"/>
                <w:sz w:val="19"/>
                <w:szCs w:val="19"/>
              </w:rPr>
              <w:t xml:space="preserve">not separately confirmed</w:t>
            </w:r>
          </w:p>
        </w:tc>
        <w:tc>
          <w:tcPr>
            <w:tcW w:type="dxa" w:w="1440"/>
            <w:tcMar>
              <w:top w:type="dxa" w:w="60"/>
              <w:left w:type="dxa" w:w="100"/>
              <w:bottom w:type="dxa" w:w="60"/>
              <w:right w:type="dxa" w:w="100"/>
            </w:tcMar>
            <w:vAlign w:val="center"/>
          </w:tcPr>
          <w:p>
            <w:r>
              <w:rPr>
                <w:b w:val="false"/>
                <w:bCs w:val="false"/>
                <w:sz w:val="19"/>
                <w:szCs w:val="19"/>
              </w:rPr>
              <w:t xml:space="preserve">-7.2% (Jul 2025)</w:t>
            </w:r>
          </w:p>
        </w:tc>
        <w:tc>
          <w:tcPr>
            <w:tcW w:type="dxa" w:w="1440"/>
            <w:tcMar>
              <w:top w:type="dxa" w:w="60"/>
              <w:left w:type="dxa" w:w="100"/>
              <w:bottom w:type="dxa" w:w="60"/>
              <w:right w:type="dxa" w:w="100"/>
            </w:tcMar>
            <w:vAlign w:val="center"/>
          </w:tcPr>
          <w:p>
            <w:r>
              <w:rPr>
                <w:b w:val="false"/>
                <w:bCs w:val="false"/>
                <w:sz w:val="19"/>
                <w:szCs w:val="19"/>
              </w:rPr>
              <w:t xml:space="preserve">Aug 2026</w:t>
            </w:r>
          </w:p>
        </w:tc>
        <w:tc>
          <w:tcPr>
            <w:tcW w:type="dxa" w:w="1440"/>
            <w:tcMar>
              <w:top w:type="dxa" w:w="60"/>
              <w:left w:type="dxa" w:w="100"/>
              <w:bottom w:type="dxa" w:w="60"/>
              <w:right w:type="dxa" w:w="100"/>
            </w:tcMar>
            <w:vAlign w:val="center"/>
          </w:tcPr>
          <w:p>
            <w:r>
              <w:rPr>
                <w:b w:val="false"/>
                <w:bCs w:val="false"/>
                <w:sz w:val="19"/>
                <w:szCs w:val="19"/>
              </w:rPr>
              <w:t xml:space="preserve">MoSPI</w:t>
            </w:r>
          </w:p>
        </w:tc>
      </w:tr>
      <w:tr>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IIP — Electricity</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8.7%</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Jul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not separately confirmed</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0.6% (Jul 2025)</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MoSPI</w:t>
            </w:r>
          </w:p>
        </w:tc>
      </w:tr>
    </w:tbl>
    <w:p>
      <w:pPr>
        <w:spacing w:after="160"/>
      </w:pPr>
    </w:p>
    <w:p>
      <w:pPr>
        <w:spacing w:after="240"/>
      </w:pPr>
      <w:r>
        <w:rPr>
          <w:i/>
          <w:iCs/>
          <w:color w:val="595959"/>
          <w:sz w:val="20"/>
          <w:szCs w:val="20"/>
        </w:rPr>
        <w:t xml:space="preserve">Note: IIP quick estimates for July 2026 are provisional and subject to revision as more source data is received, per MoSPI's standard practice.</w:t>
      </w:r>
    </w:p>
    <w:p>
      <w:pPr>
        <w:pStyle w:val="Heading1"/>
        <w:pBdr>
          <w:bottom w:val="single" w:color="1F3864" w:sz="6" w:space="4"/>
        </w:pBdr>
        <w:spacing w:after="160" w:before="320"/>
      </w:pPr>
      <w:r>
        <w:t xml:space="preserve">3. India — External Trade (August 2026)</w:t>
      </w:r>
    </w:p>
    <w:tbl>
      <w:tblPr>
        <w:tblW w:type="dxa" w:w="10080"/>
        <w:tblBorders>
          <w:top w:val="single" w:color="B0B0B0" w:sz="2"/>
          <w:left w:val="single" w:color="B0B0B0" w:sz="2"/>
          <w:bottom w:val="single" w:color="B0B0B0" w:sz="2"/>
          <w:right w:val="single" w:color="B0B0B0" w:sz="2"/>
          <w:insideH w:val="single" w:color="D9D9D9" w:sz="2"/>
          <w:insideV w:val="single" w:color="D9D9D9" w:sz="2"/>
        </w:tblBorders>
      </w:tblPr>
      <w:tblGrid>
        <w:gridCol w:w="1680"/>
        <w:gridCol w:w="1680"/>
        <w:gridCol w:w="1680"/>
        <w:gridCol w:w="1680"/>
        <w:gridCol w:w="1680"/>
        <w:gridCol w:w="1680"/>
      </w:tblGrid>
      <w:tr>
        <w:trPr>
          <w:tblHeader/>
        </w:trPr>
        <w:tc>
          <w:tcPr>
            <w:tcW w:type="dxa" w:w="1680"/>
            <w:shd w:fill="1F3864" w:color="auto" w:val="clear"/>
            <w:tcMar>
              <w:top w:type="dxa" w:w="60"/>
              <w:left w:type="dxa" w:w="100"/>
              <w:bottom w:type="dxa" w:w="60"/>
              <w:right w:type="dxa" w:w="100"/>
            </w:tcMar>
            <w:vAlign w:val="center"/>
          </w:tcPr>
          <w:p>
            <w:r>
              <w:rPr>
                <w:b/>
                <w:bCs/>
                <w:color w:val="FFFFFF"/>
                <w:sz w:val="19"/>
                <w:szCs w:val="19"/>
              </w:rPr>
              <w:t xml:space="preserve">Indicator</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Latest Value</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Reading Period</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Year-Ago</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Release Date</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Source</w:t>
            </w:r>
          </w:p>
        </w:tc>
      </w:tr>
      <w:tr>
        <w:tc>
          <w:tcPr>
            <w:tcW w:type="dxa" w:w="1680"/>
            <w:tcMar>
              <w:top w:type="dxa" w:w="60"/>
              <w:left w:type="dxa" w:w="100"/>
              <w:bottom w:type="dxa" w:w="60"/>
              <w:right w:type="dxa" w:w="100"/>
            </w:tcMar>
            <w:vAlign w:val="center"/>
          </w:tcPr>
          <w:p>
            <w:r>
              <w:rPr>
                <w:b w:val="false"/>
                <w:bCs w:val="false"/>
                <w:sz w:val="19"/>
                <w:szCs w:val="19"/>
              </w:rPr>
              <w:t xml:space="preserve">Merchandise Exports</w:t>
            </w:r>
          </w:p>
        </w:tc>
        <w:tc>
          <w:tcPr>
            <w:tcW w:type="dxa" w:w="1680"/>
            <w:tcMar>
              <w:top w:type="dxa" w:w="60"/>
              <w:left w:type="dxa" w:w="100"/>
              <w:bottom w:type="dxa" w:w="60"/>
              <w:right w:type="dxa" w:w="100"/>
            </w:tcMar>
            <w:vAlign w:val="center"/>
          </w:tcPr>
          <w:p>
            <w:r>
              <w:rPr>
                <w:b w:val="false"/>
                <w:bCs w:val="false"/>
                <w:sz w:val="19"/>
                <w:szCs w:val="19"/>
              </w:rPr>
              <w:t xml:space="preserve">US$43.81 bn (+26.12% YoY)</w:t>
            </w:r>
          </w:p>
        </w:tc>
        <w:tc>
          <w:tcPr>
            <w:tcW w:type="dxa" w:w="1680"/>
            <w:tcMar>
              <w:top w:type="dxa" w:w="60"/>
              <w:left w:type="dxa" w:w="100"/>
              <w:bottom w:type="dxa" w:w="60"/>
              <w:right w:type="dxa" w:w="100"/>
            </w:tcMar>
            <w:vAlign w:val="center"/>
          </w:tcPr>
          <w:p>
            <w:r>
              <w:rPr>
                <w:b w:val="false"/>
                <w:bCs w:val="false"/>
                <w:sz w:val="19"/>
                <w:szCs w:val="19"/>
              </w:rPr>
              <w:t xml:space="preserve">Aug 2026</w:t>
            </w:r>
          </w:p>
        </w:tc>
        <w:tc>
          <w:tcPr>
            <w:tcW w:type="dxa" w:w="1680"/>
            <w:tcMar>
              <w:top w:type="dxa" w:w="60"/>
              <w:left w:type="dxa" w:w="100"/>
              <w:bottom w:type="dxa" w:w="60"/>
              <w:right w:type="dxa" w:w="100"/>
            </w:tcMar>
            <w:vAlign w:val="center"/>
          </w:tcPr>
          <w:p>
            <w:r>
              <w:rPr>
                <w:b w:val="false"/>
                <w:bCs w:val="false"/>
                <w:sz w:val="19"/>
                <w:szCs w:val="19"/>
              </w:rPr>
              <w:t xml:space="preserve">US$34.74 bn (Aug 2025)</w:t>
            </w:r>
          </w:p>
        </w:tc>
        <w:tc>
          <w:tcPr>
            <w:tcW w:type="dxa" w:w="1680"/>
            <w:tcMar>
              <w:top w:type="dxa" w:w="60"/>
              <w:left w:type="dxa" w:w="100"/>
              <w:bottom w:type="dxa" w:w="60"/>
              <w:right w:type="dxa" w:w="100"/>
            </w:tcMar>
            <w:vAlign w:val="center"/>
          </w:tcPr>
          <w:p>
            <w:r>
              <w:rPr>
                <w:b w:val="false"/>
                <w:bCs w:val="false"/>
                <w:sz w:val="19"/>
                <w:szCs w:val="19"/>
              </w:rPr>
              <w:t xml:space="preserve">~15 Sep 2026</w:t>
            </w:r>
          </w:p>
        </w:tc>
        <w:tc>
          <w:tcPr>
            <w:tcW w:type="dxa" w:w="1680"/>
            <w:tcMar>
              <w:top w:type="dxa" w:w="60"/>
              <w:left w:type="dxa" w:w="100"/>
              <w:bottom w:type="dxa" w:w="60"/>
              <w:right w:type="dxa" w:w="100"/>
            </w:tcMar>
            <w:vAlign w:val="center"/>
          </w:tcPr>
          <w:p>
            <w:r>
              <w:rPr>
                <w:b w:val="false"/>
                <w:bCs w:val="false"/>
                <w:sz w:val="19"/>
                <w:szCs w:val="19"/>
              </w:rPr>
              <w:t xml:space="preserve">Ministry of Commerce &amp; Industry / DGCI&amp;S / PIB</w:t>
            </w:r>
          </w:p>
        </w:tc>
      </w:tr>
      <w:tr>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Merchandise Imports</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US$70.67 bn (+14.1% YoY)</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US$61.96 bn (Aug 2025)</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~15 Sep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Ministry of Commerce &amp; Industry</w:t>
            </w:r>
          </w:p>
        </w:tc>
      </w:tr>
      <w:tr>
        <w:tc>
          <w:tcPr>
            <w:tcW w:type="dxa" w:w="1680"/>
            <w:tcMar>
              <w:top w:type="dxa" w:w="60"/>
              <w:left w:type="dxa" w:w="100"/>
              <w:bottom w:type="dxa" w:w="60"/>
              <w:right w:type="dxa" w:w="100"/>
            </w:tcMar>
            <w:vAlign w:val="center"/>
          </w:tcPr>
          <w:p>
            <w:r>
              <w:rPr>
                <w:b w:val="false"/>
                <w:bCs w:val="false"/>
                <w:sz w:val="19"/>
                <w:szCs w:val="19"/>
              </w:rPr>
              <w:t xml:space="preserve">Merchandise Trade Deficit</w:t>
            </w:r>
          </w:p>
        </w:tc>
        <w:tc>
          <w:tcPr>
            <w:tcW w:type="dxa" w:w="1680"/>
            <w:tcMar>
              <w:top w:type="dxa" w:w="60"/>
              <w:left w:type="dxa" w:w="100"/>
              <w:bottom w:type="dxa" w:w="60"/>
              <w:right w:type="dxa" w:w="100"/>
            </w:tcMar>
            <w:vAlign w:val="center"/>
          </w:tcPr>
          <w:p>
            <w:r>
              <w:rPr>
                <w:b w:val="false"/>
                <w:bCs w:val="false"/>
                <w:sz w:val="19"/>
                <w:szCs w:val="19"/>
              </w:rPr>
              <w:t xml:space="preserve">US$26.86 bn</w:t>
            </w:r>
          </w:p>
        </w:tc>
        <w:tc>
          <w:tcPr>
            <w:tcW w:type="dxa" w:w="1680"/>
            <w:tcMar>
              <w:top w:type="dxa" w:w="60"/>
              <w:left w:type="dxa" w:w="100"/>
              <w:bottom w:type="dxa" w:w="60"/>
              <w:right w:type="dxa" w:w="100"/>
            </w:tcMar>
            <w:vAlign w:val="center"/>
          </w:tcPr>
          <w:p>
            <w:r>
              <w:rPr>
                <w:b w:val="false"/>
                <w:bCs w:val="false"/>
                <w:sz w:val="19"/>
                <w:szCs w:val="19"/>
              </w:rPr>
              <w:t xml:space="preserve">Aug 2026</w:t>
            </w:r>
          </w:p>
        </w:tc>
        <w:tc>
          <w:tcPr>
            <w:tcW w:type="dxa" w:w="1680"/>
            <w:tcMar>
              <w:top w:type="dxa" w:w="60"/>
              <w:left w:type="dxa" w:w="100"/>
              <w:bottom w:type="dxa" w:w="60"/>
              <w:right w:type="dxa" w:w="100"/>
            </w:tcMar>
            <w:vAlign w:val="center"/>
          </w:tcPr>
          <w:p>
            <w:r>
              <w:rPr>
                <w:b w:val="false"/>
                <w:bCs w:val="false"/>
                <w:sz w:val="19"/>
                <w:szCs w:val="19"/>
              </w:rPr>
              <w:t xml:space="preserve">not separately confirmed</w:t>
            </w:r>
          </w:p>
        </w:tc>
        <w:tc>
          <w:tcPr>
            <w:tcW w:type="dxa" w:w="1680"/>
            <w:tcMar>
              <w:top w:type="dxa" w:w="60"/>
              <w:left w:type="dxa" w:w="100"/>
              <w:bottom w:type="dxa" w:w="60"/>
              <w:right w:type="dxa" w:w="100"/>
            </w:tcMar>
            <w:vAlign w:val="center"/>
          </w:tcPr>
          <w:p>
            <w:r>
              <w:rPr>
                <w:b w:val="false"/>
                <w:bCs w:val="false"/>
                <w:sz w:val="19"/>
                <w:szCs w:val="19"/>
              </w:rPr>
              <w:t xml:space="preserve">~15 Sep 2026</w:t>
            </w:r>
          </w:p>
        </w:tc>
        <w:tc>
          <w:tcPr>
            <w:tcW w:type="dxa" w:w="1680"/>
            <w:tcMar>
              <w:top w:type="dxa" w:w="60"/>
              <w:left w:type="dxa" w:w="100"/>
              <w:bottom w:type="dxa" w:w="60"/>
              <w:right w:type="dxa" w:w="100"/>
            </w:tcMar>
            <w:vAlign w:val="center"/>
          </w:tcPr>
          <w:p>
            <w:r>
              <w:rPr>
                <w:b w:val="false"/>
                <w:bCs w:val="false"/>
                <w:sz w:val="19"/>
                <w:szCs w:val="19"/>
              </w:rPr>
              <w:t xml:space="preserve">Ministry of Commerce &amp; Industry</w:t>
            </w:r>
          </w:p>
        </w:tc>
      </w:tr>
      <w:tr>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Services Exports</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US$38.87 bn (+24.61% YoY)</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US$31.19 bn (Aug 2025)</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~15 Sep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Ministry of Commerce &amp; Industry (RBI-based estimate)</w:t>
            </w:r>
          </w:p>
        </w:tc>
      </w:tr>
      <w:tr>
        <w:tc>
          <w:tcPr>
            <w:tcW w:type="dxa" w:w="1680"/>
            <w:tcMar>
              <w:top w:type="dxa" w:w="60"/>
              <w:left w:type="dxa" w:w="100"/>
              <w:bottom w:type="dxa" w:w="60"/>
              <w:right w:type="dxa" w:w="100"/>
            </w:tcMar>
            <w:vAlign w:val="center"/>
          </w:tcPr>
          <w:p>
            <w:r>
              <w:rPr>
                <w:b w:val="false"/>
                <w:bCs w:val="false"/>
                <w:sz w:val="19"/>
                <w:szCs w:val="19"/>
              </w:rPr>
              <w:t xml:space="preserve">Services Imports</w:t>
            </w:r>
          </w:p>
        </w:tc>
        <w:tc>
          <w:tcPr>
            <w:tcW w:type="dxa" w:w="1680"/>
            <w:tcMar>
              <w:top w:type="dxa" w:w="60"/>
              <w:left w:type="dxa" w:w="100"/>
              <w:bottom w:type="dxa" w:w="60"/>
              <w:right w:type="dxa" w:w="100"/>
            </w:tcMar>
            <w:vAlign w:val="center"/>
          </w:tcPr>
          <w:p>
            <w:r>
              <w:rPr>
                <w:b w:val="false"/>
                <w:bCs w:val="false"/>
                <w:sz w:val="19"/>
                <w:szCs w:val="19"/>
              </w:rPr>
              <w:t xml:space="preserve">US$21.42 bn</w:t>
            </w:r>
          </w:p>
        </w:tc>
        <w:tc>
          <w:tcPr>
            <w:tcW w:type="dxa" w:w="1680"/>
            <w:tcMar>
              <w:top w:type="dxa" w:w="60"/>
              <w:left w:type="dxa" w:w="100"/>
              <w:bottom w:type="dxa" w:w="60"/>
              <w:right w:type="dxa" w:w="100"/>
            </w:tcMar>
            <w:vAlign w:val="center"/>
          </w:tcPr>
          <w:p>
            <w:r>
              <w:rPr>
                <w:b w:val="false"/>
                <w:bCs w:val="false"/>
                <w:sz w:val="19"/>
                <w:szCs w:val="19"/>
              </w:rPr>
              <w:t xml:space="preserve">Aug 2026</w:t>
            </w:r>
          </w:p>
        </w:tc>
        <w:tc>
          <w:tcPr>
            <w:tcW w:type="dxa" w:w="1680"/>
            <w:tcMar>
              <w:top w:type="dxa" w:w="60"/>
              <w:left w:type="dxa" w:w="100"/>
              <w:bottom w:type="dxa" w:w="60"/>
              <w:right w:type="dxa" w:w="100"/>
            </w:tcMar>
            <w:vAlign w:val="center"/>
          </w:tcPr>
          <w:p>
            <w:r>
              <w:rPr>
                <w:b w:val="false"/>
                <w:bCs w:val="false"/>
                <w:sz w:val="19"/>
                <w:szCs w:val="19"/>
              </w:rPr>
              <w:t xml:space="preserve">US$15.59 bn (Aug 2025)</w:t>
            </w:r>
          </w:p>
        </w:tc>
        <w:tc>
          <w:tcPr>
            <w:tcW w:type="dxa" w:w="1680"/>
            <w:tcMar>
              <w:top w:type="dxa" w:w="60"/>
              <w:left w:type="dxa" w:w="100"/>
              <w:bottom w:type="dxa" w:w="60"/>
              <w:right w:type="dxa" w:w="100"/>
            </w:tcMar>
            <w:vAlign w:val="center"/>
          </w:tcPr>
          <w:p>
            <w:r>
              <w:rPr>
                <w:b w:val="false"/>
                <w:bCs w:val="false"/>
                <w:sz w:val="19"/>
                <w:szCs w:val="19"/>
              </w:rPr>
              <w:t xml:space="preserve">~15 Sep 2026</w:t>
            </w:r>
          </w:p>
        </w:tc>
        <w:tc>
          <w:tcPr>
            <w:tcW w:type="dxa" w:w="1680"/>
            <w:tcMar>
              <w:top w:type="dxa" w:w="60"/>
              <w:left w:type="dxa" w:w="100"/>
              <w:bottom w:type="dxa" w:w="60"/>
              <w:right w:type="dxa" w:w="100"/>
            </w:tcMar>
            <w:vAlign w:val="center"/>
          </w:tcPr>
          <w:p>
            <w:r>
              <w:rPr>
                <w:b w:val="false"/>
                <w:bCs w:val="false"/>
                <w:sz w:val="19"/>
                <w:szCs w:val="19"/>
              </w:rPr>
              <w:t xml:space="preserve">Ministry of Commerce &amp; Industry</w:t>
            </w:r>
          </w:p>
        </w:tc>
      </w:tr>
      <w:tr>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Services Trade Surplus</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US$17.45 bn (+11.9% YoY)</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not separately confirmed</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~15 Sep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Ministry of Commerce &amp; Industry</w:t>
            </w:r>
          </w:p>
        </w:tc>
      </w:tr>
      <w:tr>
        <w:tc>
          <w:tcPr>
            <w:tcW w:type="dxa" w:w="1680"/>
            <w:tcMar>
              <w:top w:type="dxa" w:w="60"/>
              <w:left w:type="dxa" w:w="100"/>
              <w:bottom w:type="dxa" w:w="60"/>
              <w:right w:type="dxa" w:w="100"/>
            </w:tcMar>
            <w:vAlign w:val="center"/>
          </w:tcPr>
          <w:p>
            <w:r>
              <w:rPr>
                <w:b w:val="false"/>
                <w:bCs w:val="false"/>
                <w:sz w:val="19"/>
                <w:szCs w:val="19"/>
              </w:rPr>
              <w:t xml:space="preserve">Overall Trade Balance (Goods + Services)</w:t>
            </w:r>
          </w:p>
        </w:tc>
        <w:tc>
          <w:tcPr>
            <w:tcW w:type="dxa" w:w="1680"/>
            <w:tcMar>
              <w:top w:type="dxa" w:w="60"/>
              <w:left w:type="dxa" w:w="100"/>
              <w:bottom w:type="dxa" w:w="60"/>
              <w:right w:type="dxa" w:w="100"/>
            </w:tcMar>
            <w:vAlign w:val="center"/>
          </w:tcPr>
          <w:p>
            <w:r>
              <w:rPr>
                <w:b w:val="false"/>
                <w:bCs w:val="false"/>
                <w:sz w:val="19"/>
                <w:szCs w:val="19"/>
              </w:rPr>
              <w:t xml:space="preserve">Deficit of US$9.41 bn</w:t>
            </w:r>
          </w:p>
        </w:tc>
        <w:tc>
          <w:tcPr>
            <w:tcW w:type="dxa" w:w="1680"/>
            <w:tcMar>
              <w:top w:type="dxa" w:w="60"/>
              <w:left w:type="dxa" w:w="100"/>
              <w:bottom w:type="dxa" w:w="60"/>
              <w:right w:type="dxa" w:w="100"/>
            </w:tcMar>
            <w:vAlign w:val="center"/>
          </w:tcPr>
          <w:p>
            <w:r>
              <w:rPr>
                <w:b w:val="false"/>
                <w:bCs w:val="false"/>
                <w:sz w:val="19"/>
                <w:szCs w:val="19"/>
              </w:rPr>
              <w:t xml:space="preserve">Aug 2026</w:t>
            </w:r>
          </w:p>
        </w:tc>
        <w:tc>
          <w:tcPr>
            <w:tcW w:type="dxa" w:w="1680"/>
            <w:tcMar>
              <w:top w:type="dxa" w:w="60"/>
              <w:left w:type="dxa" w:w="100"/>
              <w:bottom w:type="dxa" w:w="60"/>
              <w:right w:type="dxa" w:w="100"/>
            </w:tcMar>
            <w:vAlign w:val="center"/>
          </w:tcPr>
          <w:p>
            <w:r>
              <w:rPr>
                <w:b w:val="false"/>
                <w:bCs w:val="false"/>
                <w:sz w:val="19"/>
                <w:szCs w:val="19"/>
              </w:rPr>
              <w:t xml:space="preserve">Deficit of US$11.62 bn (Aug 2025)</w:t>
            </w:r>
          </w:p>
        </w:tc>
        <w:tc>
          <w:tcPr>
            <w:tcW w:type="dxa" w:w="1680"/>
            <w:tcMar>
              <w:top w:type="dxa" w:w="60"/>
              <w:left w:type="dxa" w:w="100"/>
              <w:bottom w:type="dxa" w:w="60"/>
              <w:right w:type="dxa" w:w="100"/>
            </w:tcMar>
            <w:vAlign w:val="center"/>
          </w:tcPr>
          <w:p>
            <w:r>
              <w:rPr>
                <w:b w:val="false"/>
                <w:bCs w:val="false"/>
                <w:sz w:val="19"/>
                <w:szCs w:val="19"/>
              </w:rPr>
              <w:t xml:space="preserve">~15 Sep 2026</w:t>
            </w:r>
          </w:p>
        </w:tc>
        <w:tc>
          <w:tcPr>
            <w:tcW w:type="dxa" w:w="1680"/>
            <w:tcMar>
              <w:top w:type="dxa" w:w="60"/>
              <w:left w:type="dxa" w:w="100"/>
              <w:bottom w:type="dxa" w:w="60"/>
              <w:right w:type="dxa" w:w="100"/>
            </w:tcMar>
            <w:vAlign w:val="center"/>
          </w:tcPr>
          <w:p>
            <w:r>
              <w:rPr>
                <w:b w:val="false"/>
                <w:bCs w:val="false"/>
                <w:sz w:val="19"/>
                <w:szCs w:val="19"/>
              </w:rPr>
              <w:t xml:space="preserve">Ministry of Commerce &amp; Industry</w:t>
            </w:r>
          </w:p>
        </w:tc>
      </w:tr>
      <w:tr>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Cumulative Exports (Apr–Aug FY27)</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US$215.9 bn (+17.8% YoY)</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Apr–Aug 2026-27</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Apr–Aug 2025-26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~15 Sep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Ministry of Commerce &amp; Industry</w:t>
            </w:r>
          </w:p>
        </w:tc>
      </w:tr>
    </w:tbl>
    <w:p>
      <w:pPr>
        <w:spacing w:after="160"/>
      </w:pPr>
    </w:p>
    <w:p>
      <w:pPr>
        <w:pStyle w:val="Heading1"/>
        <w:pBdr>
          <w:bottom w:val="single" w:color="1F3864" w:sz="6" w:space="4"/>
        </w:pBdr>
        <w:spacing w:after="160" w:before="320"/>
      </w:pPr>
      <w:r>
        <w:t xml:space="preserve">4. India — Labour Market &amp; Policy Rates</w:t>
      </w:r>
    </w:p>
    <w:tbl>
      <w:tblPr>
        <w:tblW w:type="dxa" w:w="10080"/>
        <w:tblBorders>
          <w:top w:val="single" w:color="B0B0B0" w:sz="2"/>
          <w:left w:val="single" w:color="B0B0B0" w:sz="2"/>
          <w:bottom w:val="single" w:color="B0B0B0" w:sz="2"/>
          <w:right w:val="single" w:color="B0B0B0" w:sz="2"/>
          <w:insideH w:val="single" w:color="D9D9D9" w:sz="2"/>
          <w:insideV w:val="single" w:color="D9D9D9" w:sz="2"/>
        </w:tblBorders>
      </w:tblPr>
      <w:tblGrid>
        <w:gridCol w:w="1440"/>
        <w:gridCol w:w="1440"/>
        <w:gridCol w:w="1440"/>
        <w:gridCol w:w="1440"/>
        <w:gridCol w:w="1440"/>
        <w:gridCol w:w="1440"/>
        <w:gridCol w:w="1440"/>
      </w:tblGrid>
      <w:tr>
        <w:trPr>
          <w:tblHeader/>
        </w:trPr>
        <w:tc>
          <w:tcPr>
            <w:tcW w:type="dxa" w:w="1440"/>
            <w:shd w:fill="1F3864" w:color="auto" w:val="clear"/>
            <w:tcMar>
              <w:top w:type="dxa" w:w="60"/>
              <w:left w:type="dxa" w:w="100"/>
              <w:bottom w:type="dxa" w:w="60"/>
              <w:right w:type="dxa" w:w="100"/>
            </w:tcMar>
            <w:vAlign w:val="center"/>
          </w:tcPr>
          <w:p>
            <w:r>
              <w:rPr>
                <w:b/>
                <w:bCs/>
                <w:color w:val="FFFFFF"/>
                <w:sz w:val="19"/>
                <w:szCs w:val="19"/>
              </w:rPr>
              <w:t xml:space="preserve">Indicator</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Latest Value</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Reading Period</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Previous Period</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Year-Ago</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Release Date</w:t>
            </w:r>
          </w:p>
        </w:tc>
        <w:tc>
          <w:tcPr>
            <w:tcW w:type="dxa" w:w="1440"/>
            <w:shd w:fill="1F3864" w:color="auto" w:val="clear"/>
            <w:tcMar>
              <w:top w:type="dxa" w:w="60"/>
              <w:left w:type="dxa" w:w="100"/>
              <w:bottom w:type="dxa" w:w="60"/>
              <w:right w:type="dxa" w:w="100"/>
            </w:tcMar>
            <w:vAlign w:val="center"/>
          </w:tcPr>
          <w:p>
            <w:r>
              <w:rPr>
                <w:b/>
                <w:bCs/>
                <w:color w:val="FFFFFF"/>
                <w:sz w:val="19"/>
                <w:szCs w:val="19"/>
              </w:rPr>
              <w:t xml:space="preserve">Source</w:t>
            </w:r>
          </w:p>
        </w:tc>
      </w:tr>
      <w:tr>
        <w:tc>
          <w:tcPr>
            <w:tcW w:type="dxa" w:w="1440"/>
            <w:tcMar>
              <w:top w:type="dxa" w:w="60"/>
              <w:left w:type="dxa" w:w="100"/>
              <w:bottom w:type="dxa" w:w="60"/>
              <w:right w:type="dxa" w:w="100"/>
            </w:tcMar>
            <w:vAlign w:val="center"/>
          </w:tcPr>
          <w:p>
            <w:r>
              <w:rPr>
                <w:b w:val="false"/>
                <w:bCs w:val="false"/>
                <w:sz w:val="19"/>
                <w:szCs w:val="19"/>
              </w:rPr>
              <w:t xml:space="preserve">PLFS Unemployment Rate (15+, all-India)</w:t>
            </w:r>
          </w:p>
        </w:tc>
        <w:tc>
          <w:tcPr>
            <w:tcW w:type="dxa" w:w="1440"/>
            <w:tcMar>
              <w:top w:type="dxa" w:w="60"/>
              <w:left w:type="dxa" w:w="100"/>
              <w:bottom w:type="dxa" w:w="60"/>
              <w:right w:type="dxa" w:w="100"/>
            </w:tcMar>
            <w:vAlign w:val="center"/>
          </w:tcPr>
          <w:p>
            <w:r>
              <w:rPr>
                <w:b w:val="false"/>
                <w:bCs w:val="false"/>
                <w:sz w:val="19"/>
                <w:szCs w:val="19"/>
              </w:rPr>
              <w:t xml:space="preserve">5.0%</w:t>
            </w:r>
          </w:p>
        </w:tc>
        <w:tc>
          <w:tcPr>
            <w:tcW w:type="dxa" w:w="1440"/>
            <w:tcMar>
              <w:top w:type="dxa" w:w="60"/>
              <w:left w:type="dxa" w:w="100"/>
              <w:bottom w:type="dxa" w:w="60"/>
              <w:right w:type="dxa" w:w="100"/>
            </w:tcMar>
            <w:vAlign w:val="center"/>
          </w:tcPr>
          <w:p>
            <w:r>
              <w:rPr>
                <w:b w:val="false"/>
                <w:bCs w:val="false"/>
                <w:sz w:val="19"/>
                <w:szCs w:val="19"/>
              </w:rPr>
              <w:t xml:space="preserve">Aug 2026</w:t>
            </w:r>
          </w:p>
        </w:tc>
        <w:tc>
          <w:tcPr>
            <w:tcW w:type="dxa" w:w="1440"/>
            <w:tcMar>
              <w:top w:type="dxa" w:w="60"/>
              <w:left w:type="dxa" w:w="100"/>
              <w:bottom w:type="dxa" w:w="60"/>
              <w:right w:type="dxa" w:w="100"/>
            </w:tcMar>
            <w:vAlign w:val="center"/>
          </w:tcPr>
          <w:p>
            <w:r>
              <w:rPr>
                <w:b w:val="false"/>
                <w:bCs w:val="false"/>
                <w:sz w:val="19"/>
                <w:szCs w:val="19"/>
              </w:rPr>
              <w:t xml:space="preserve">5.1% (Jul 2026)</w:t>
            </w:r>
          </w:p>
        </w:tc>
        <w:tc>
          <w:tcPr>
            <w:tcW w:type="dxa" w:w="1440"/>
            <w:tcMar>
              <w:top w:type="dxa" w:w="60"/>
              <w:left w:type="dxa" w:w="100"/>
              <w:bottom w:type="dxa" w:w="60"/>
              <w:right w:type="dxa" w:w="100"/>
            </w:tcMar>
            <w:vAlign w:val="center"/>
          </w:tcPr>
          <w:p>
            <w:r>
              <w:rPr>
                <w:b w:val="false"/>
                <w:bCs w:val="false"/>
                <w:sz w:val="19"/>
                <w:szCs w:val="19"/>
              </w:rPr>
              <w:t xml:space="preserve">5.1% (Aug 2025)</w:t>
            </w:r>
          </w:p>
        </w:tc>
        <w:tc>
          <w:tcPr>
            <w:tcW w:type="dxa" w:w="1440"/>
            <w:tcMar>
              <w:top w:type="dxa" w:w="60"/>
              <w:left w:type="dxa" w:w="100"/>
              <w:bottom w:type="dxa" w:w="60"/>
              <w:right w:type="dxa" w:w="100"/>
            </w:tcMar>
            <w:vAlign w:val="center"/>
          </w:tcPr>
          <w:p>
            <w:r>
              <w:rPr>
                <w:b w:val="false"/>
                <w:bCs w:val="false"/>
                <w:sz w:val="19"/>
                <w:szCs w:val="19"/>
              </w:rPr>
              <w:t xml:space="preserve">15 Sep 2026</w:t>
            </w:r>
          </w:p>
        </w:tc>
        <w:tc>
          <w:tcPr>
            <w:tcW w:type="dxa" w:w="1440"/>
            <w:tcMar>
              <w:top w:type="dxa" w:w="60"/>
              <w:left w:type="dxa" w:w="100"/>
              <w:bottom w:type="dxa" w:w="60"/>
              <w:right w:type="dxa" w:w="100"/>
            </w:tcMar>
            <w:vAlign w:val="center"/>
          </w:tcPr>
          <w:p>
            <w:r>
              <w:rPr>
                <w:b w:val="false"/>
                <w:bCs w:val="false"/>
                <w:sz w:val="19"/>
                <w:szCs w:val="19"/>
              </w:rPr>
              <w:t xml:space="preserve">MoSPI (PLFS Monthly Bulletin)</w:t>
            </w:r>
          </w:p>
        </w:tc>
      </w:tr>
      <w:tr>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 Rural UR</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4.1% (lowest since Jan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not separately confirmed</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not yet released</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15 Sep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MoSPI</w:t>
            </w:r>
          </w:p>
        </w:tc>
      </w:tr>
      <w:tr>
        <w:tc>
          <w:tcPr>
            <w:tcW w:type="dxa" w:w="1440"/>
            <w:tcMar>
              <w:top w:type="dxa" w:w="60"/>
              <w:left w:type="dxa" w:w="100"/>
              <w:bottom w:type="dxa" w:w="60"/>
              <w:right w:type="dxa" w:w="100"/>
            </w:tcMar>
            <w:vAlign w:val="center"/>
          </w:tcPr>
          <w:p>
            <w:r>
              <w:rPr>
                <w:b w:val="false"/>
                <w:bCs w:val="false"/>
                <w:sz w:val="19"/>
                <w:szCs w:val="19"/>
              </w:rPr>
              <w:t xml:space="preserve">RBI Repo Rate</w:t>
            </w:r>
          </w:p>
        </w:tc>
        <w:tc>
          <w:tcPr>
            <w:tcW w:type="dxa" w:w="1440"/>
            <w:tcMar>
              <w:top w:type="dxa" w:w="60"/>
              <w:left w:type="dxa" w:w="100"/>
              <w:bottom w:type="dxa" w:w="60"/>
              <w:right w:type="dxa" w:w="100"/>
            </w:tcMar>
            <w:vAlign w:val="center"/>
          </w:tcPr>
          <w:p>
            <w:r>
              <w:rPr>
                <w:b w:val="false"/>
                <w:bCs w:val="false"/>
                <w:sz w:val="19"/>
                <w:szCs w:val="19"/>
              </w:rPr>
              <w:t xml:space="preserve">5.25% (held, 4th consecutive pause)</w:t>
            </w:r>
          </w:p>
        </w:tc>
        <w:tc>
          <w:tcPr>
            <w:tcW w:type="dxa" w:w="1440"/>
            <w:tcMar>
              <w:top w:type="dxa" w:w="60"/>
              <w:left w:type="dxa" w:w="100"/>
              <w:bottom w:type="dxa" w:w="60"/>
              <w:right w:type="dxa" w:w="100"/>
            </w:tcMar>
            <w:vAlign w:val="center"/>
          </w:tcPr>
          <w:p>
            <w:r>
              <w:rPr>
                <w:b w:val="false"/>
                <w:bCs w:val="false"/>
                <w:sz w:val="19"/>
                <w:szCs w:val="19"/>
              </w:rPr>
              <w:t xml:space="preserve">as of 5 Aug 2026 MPC</w:t>
            </w:r>
          </w:p>
        </w:tc>
        <w:tc>
          <w:tcPr>
            <w:tcW w:type="dxa" w:w="1440"/>
            <w:tcMar>
              <w:top w:type="dxa" w:w="60"/>
              <w:left w:type="dxa" w:w="100"/>
              <w:bottom w:type="dxa" w:w="60"/>
              <w:right w:type="dxa" w:w="100"/>
            </w:tcMar>
            <w:vAlign w:val="center"/>
          </w:tcPr>
          <w:p>
            <w:r>
              <w:rPr>
                <w:b w:val="false"/>
                <w:bCs w:val="false"/>
                <w:sz w:val="19"/>
                <w:szCs w:val="19"/>
              </w:rPr>
              <w:t xml:space="preserve">5.25% (Jun 2026 MPC)</w:t>
            </w:r>
          </w:p>
        </w:tc>
        <w:tc>
          <w:tcPr>
            <w:tcW w:type="dxa" w:w="1440"/>
            <w:tcMar>
              <w:top w:type="dxa" w:w="60"/>
              <w:left w:type="dxa" w:w="100"/>
              <w:bottom w:type="dxa" w:w="60"/>
              <w:right w:type="dxa" w:w="100"/>
            </w:tcMar>
            <w:vAlign w:val="center"/>
          </w:tcPr>
          <w:p>
            <w:r>
              <w:rPr>
                <w:b w:val="false"/>
                <w:bCs w:val="false"/>
                <w:sz w:val="19"/>
                <w:szCs w:val="19"/>
              </w:rPr>
              <w:t xml:space="preserve">not yet released</w:t>
            </w:r>
          </w:p>
        </w:tc>
        <w:tc>
          <w:tcPr>
            <w:tcW w:type="dxa" w:w="1440"/>
            <w:tcMar>
              <w:top w:type="dxa" w:w="60"/>
              <w:left w:type="dxa" w:w="100"/>
              <w:bottom w:type="dxa" w:w="60"/>
              <w:right w:type="dxa" w:w="100"/>
            </w:tcMar>
            <w:vAlign w:val="center"/>
          </w:tcPr>
          <w:p>
            <w:r>
              <w:rPr>
                <w:b w:val="false"/>
                <w:bCs w:val="false"/>
                <w:sz w:val="19"/>
                <w:szCs w:val="19"/>
              </w:rPr>
              <w:t xml:space="preserve">5 Aug 2026 (next MPC: 5–7 Oct 2026)</w:t>
            </w:r>
          </w:p>
        </w:tc>
        <w:tc>
          <w:tcPr>
            <w:tcW w:type="dxa" w:w="1440"/>
            <w:tcMar>
              <w:top w:type="dxa" w:w="60"/>
              <w:left w:type="dxa" w:w="100"/>
              <w:bottom w:type="dxa" w:w="60"/>
              <w:right w:type="dxa" w:w="100"/>
            </w:tcMar>
            <w:vAlign w:val="center"/>
          </w:tcPr>
          <w:p>
            <w:r>
              <w:rPr>
                <w:b w:val="false"/>
                <w:bCs w:val="false"/>
                <w:sz w:val="19"/>
                <w:szCs w:val="19"/>
              </w:rPr>
              <w:t xml:space="preserve">RBI</w:t>
            </w:r>
          </w:p>
        </w:tc>
      </w:tr>
      <w:tr>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10-Year G-Sec Yield</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7.02%</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as of 11 Sep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not separately confirmed</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not yet released</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11 Sep 2026</w:t>
            </w:r>
          </w:p>
        </w:tc>
        <w:tc>
          <w:tcPr>
            <w:tcW w:type="dxa" w:w="1440"/>
            <w:shd w:fill="EEF2F7" w:color="auto" w:val="clear"/>
            <w:tcMar>
              <w:top w:type="dxa" w:w="60"/>
              <w:left w:type="dxa" w:w="100"/>
              <w:bottom w:type="dxa" w:w="60"/>
              <w:right w:type="dxa" w:w="100"/>
            </w:tcMar>
            <w:vAlign w:val="center"/>
          </w:tcPr>
          <w:p>
            <w:r>
              <w:rPr>
                <w:b w:val="false"/>
                <w:bCs w:val="false"/>
                <w:sz w:val="19"/>
                <w:szCs w:val="19"/>
              </w:rPr>
              <w:t xml:space="preserve">RBI / Market data</w:t>
            </w:r>
          </w:p>
        </w:tc>
      </w:tr>
    </w:tbl>
    <w:p>
      <w:pPr>
        <w:spacing w:after="160"/>
      </w:pPr>
    </w:p>
    <w:p>
      <w:pPr>
        <w:pStyle w:val="Heading1"/>
        <w:pBdr>
          <w:bottom w:val="single" w:color="1F3864" w:sz="6" w:space="4"/>
        </w:pBdr>
        <w:spacing w:after="160" w:before="320"/>
      </w:pPr>
      <w:r>
        <w:t xml:space="preserve">5. Global Comparison</w:t>
      </w:r>
    </w:p>
    <w:p>
      <w:pPr>
        <w:pStyle w:val="Heading2"/>
        <w:spacing w:after="120" w:before="240"/>
      </w:pPr>
      <w:r>
        <w:t xml:space="preserve">Inflation (CPI, headline YoY)</w:t>
      </w:r>
    </w:p>
    <w:tbl>
      <w:tblPr>
        <w:tblW w:type="dxa" w:w="10080"/>
        <w:tblBorders>
          <w:top w:val="single" w:color="B0B0B0" w:sz="2"/>
          <w:left w:val="single" w:color="B0B0B0" w:sz="2"/>
          <w:bottom w:val="single" w:color="B0B0B0" w:sz="2"/>
          <w:right w:val="single" w:color="B0B0B0" w:sz="2"/>
          <w:insideH w:val="single" w:color="D9D9D9" w:sz="2"/>
          <w:insideV w:val="single" w:color="D9D9D9" w:sz="2"/>
        </w:tblBorders>
      </w:tblPr>
      <w:tblGrid>
        <w:gridCol w:w="1680"/>
        <w:gridCol w:w="1680"/>
        <w:gridCol w:w="1680"/>
        <w:gridCol w:w="1680"/>
        <w:gridCol w:w="1680"/>
        <w:gridCol w:w="1680"/>
      </w:tblGrid>
      <w:tr>
        <w:trPr>
          <w:tblHeader/>
        </w:trPr>
        <w:tc>
          <w:tcPr>
            <w:tcW w:type="dxa" w:w="1680"/>
            <w:shd w:fill="1F3864" w:color="auto" w:val="clear"/>
            <w:tcMar>
              <w:top w:type="dxa" w:w="60"/>
              <w:left w:type="dxa" w:w="100"/>
              <w:bottom w:type="dxa" w:w="60"/>
              <w:right w:type="dxa" w:w="100"/>
            </w:tcMar>
            <w:vAlign w:val="center"/>
          </w:tcPr>
          <w:p>
            <w:r>
              <w:rPr>
                <w:b/>
                <w:bCs/>
                <w:color w:val="FFFFFF"/>
                <w:sz w:val="19"/>
                <w:szCs w:val="19"/>
              </w:rPr>
              <w:t xml:space="preserve">Economy</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Latest</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Reading Period</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Previous Period</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Release Date</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Source</w:t>
            </w:r>
          </w:p>
        </w:tc>
      </w:tr>
      <w:tr>
        <w:tc>
          <w:tcPr>
            <w:tcW w:type="dxa" w:w="1680"/>
            <w:tcMar>
              <w:top w:type="dxa" w:w="60"/>
              <w:left w:type="dxa" w:w="100"/>
              <w:bottom w:type="dxa" w:w="60"/>
              <w:right w:type="dxa" w:w="100"/>
            </w:tcMar>
            <w:vAlign w:val="center"/>
          </w:tcPr>
          <w:p>
            <w:r>
              <w:rPr>
                <w:b w:val="false"/>
                <w:bCs w:val="false"/>
                <w:sz w:val="19"/>
                <w:szCs w:val="19"/>
              </w:rPr>
              <w:t xml:space="preserve">India</w:t>
            </w:r>
          </w:p>
        </w:tc>
        <w:tc>
          <w:tcPr>
            <w:tcW w:type="dxa" w:w="1680"/>
            <w:tcMar>
              <w:top w:type="dxa" w:w="60"/>
              <w:left w:type="dxa" w:w="100"/>
              <w:bottom w:type="dxa" w:w="60"/>
              <w:right w:type="dxa" w:w="100"/>
            </w:tcMar>
            <w:vAlign w:val="center"/>
          </w:tcPr>
          <w:p>
            <w:r>
              <w:rPr>
                <w:b w:val="false"/>
                <w:bCs w:val="false"/>
                <w:sz w:val="19"/>
                <w:szCs w:val="19"/>
              </w:rPr>
              <w:t xml:space="preserve">4.82%</w:t>
            </w:r>
          </w:p>
        </w:tc>
        <w:tc>
          <w:tcPr>
            <w:tcW w:type="dxa" w:w="1680"/>
            <w:tcMar>
              <w:top w:type="dxa" w:w="60"/>
              <w:left w:type="dxa" w:w="100"/>
              <w:bottom w:type="dxa" w:w="60"/>
              <w:right w:type="dxa" w:w="100"/>
            </w:tcMar>
            <w:vAlign w:val="center"/>
          </w:tcPr>
          <w:p>
            <w:r>
              <w:rPr>
                <w:b w:val="false"/>
                <w:bCs w:val="false"/>
                <w:sz w:val="19"/>
                <w:szCs w:val="19"/>
              </w:rPr>
              <w:t xml:space="preserve">Aug 2026</w:t>
            </w:r>
          </w:p>
        </w:tc>
        <w:tc>
          <w:tcPr>
            <w:tcW w:type="dxa" w:w="1680"/>
            <w:tcMar>
              <w:top w:type="dxa" w:w="60"/>
              <w:left w:type="dxa" w:w="100"/>
              <w:bottom w:type="dxa" w:w="60"/>
              <w:right w:type="dxa" w:w="100"/>
            </w:tcMar>
            <w:vAlign w:val="center"/>
          </w:tcPr>
          <w:p>
            <w:r>
              <w:rPr>
                <w:b w:val="false"/>
                <w:bCs w:val="false"/>
                <w:sz w:val="19"/>
                <w:szCs w:val="19"/>
              </w:rPr>
              <w:t xml:space="preserve">4.45% (Jul 2026)</w:t>
            </w:r>
          </w:p>
        </w:tc>
        <w:tc>
          <w:tcPr>
            <w:tcW w:type="dxa" w:w="1680"/>
            <w:tcMar>
              <w:top w:type="dxa" w:w="60"/>
              <w:left w:type="dxa" w:w="100"/>
              <w:bottom w:type="dxa" w:w="60"/>
              <w:right w:type="dxa" w:w="100"/>
            </w:tcMar>
            <w:vAlign w:val="center"/>
          </w:tcPr>
          <w:p>
            <w:r>
              <w:rPr>
                <w:b w:val="false"/>
                <w:bCs w:val="false"/>
                <w:sz w:val="19"/>
                <w:szCs w:val="19"/>
              </w:rPr>
              <w:t xml:space="preserve">14 Sep 2026</w:t>
            </w:r>
          </w:p>
        </w:tc>
        <w:tc>
          <w:tcPr>
            <w:tcW w:type="dxa" w:w="1680"/>
            <w:tcMar>
              <w:top w:type="dxa" w:w="60"/>
              <w:left w:type="dxa" w:w="100"/>
              <w:bottom w:type="dxa" w:w="60"/>
              <w:right w:type="dxa" w:w="100"/>
            </w:tcMar>
            <w:vAlign w:val="center"/>
          </w:tcPr>
          <w:p>
            <w:r>
              <w:rPr>
                <w:b w:val="false"/>
                <w:bCs w:val="false"/>
                <w:sz w:val="19"/>
                <w:szCs w:val="19"/>
              </w:rPr>
              <w:t xml:space="preserve">MoSPI</w:t>
            </w:r>
          </w:p>
        </w:tc>
      </w:tr>
      <w:tr>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United States</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3.4%</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3.4% (Jul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11 Sep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BLS</w:t>
            </w:r>
          </w:p>
        </w:tc>
      </w:tr>
      <w:tr>
        <w:tc>
          <w:tcPr>
            <w:tcW w:type="dxa" w:w="1680"/>
            <w:tcMar>
              <w:top w:type="dxa" w:w="60"/>
              <w:left w:type="dxa" w:w="100"/>
              <w:bottom w:type="dxa" w:w="60"/>
              <w:right w:type="dxa" w:w="100"/>
            </w:tcMar>
            <w:vAlign w:val="center"/>
          </w:tcPr>
          <w:p>
            <w:r>
              <w:rPr>
                <w:b w:val="false"/>
                <w:bCs w:val="false"/>
                <w:sz w:val="19"/>
                <w:szCs w:val="19"/>
              </w:rPr>
              <w:t xml:space="preserve">Euro Area</w:t>
            </w:r>
          </w:p>
        </w:tc>
        <w:tc>
          <w:tcPr>
            <w:tcW w:type="dxa" w:w="1680"/>
            <w:tcMar>
              <w:top w:type="dxa" w:w="60"/>
              <w:left w:type="dxa" w:w="100"/>
              <w:bottom w:type="dxa" w:w="60"/>
              <w:right w:type="dxa" w:w="100"/>
            </w:tcMar>
            <w:vAlign w:val="center"/>
          </w:tcPr>
          <w:p>
            <w:r>
              <w:rPr>
                <w:b w:val="false"/>
                <w:bCs w:val="false"/>
                <w:sz w:val="19"/>
                <w:szCs w:val="19"/>
              </w:rPr>
              <w:t xml:space="preserve">3.2% (final)</w:t>
            </w:r>
          </w:p>
        </w:tc>
        <w:tc>
          <w:tcPr>
            <w:tcW w:type="dxa" w:w="1680"/>
            <w:tcMar>
              <w:top w:type="dxa" w:w="60"/>
              <w:left w:type="dxa" w:w="100"/>
              <w:bottom w:type="dxa" w:w="60"/>
              <w:right w:type="dxa" w:w="100"/>
            </w:tcMar>
            <w:vAlign w:val="center"/>
          </w:tcPr>
          <w:p>
            <w:r>
              <w:rPr>
                <w:b w:val="false"/>
                <w:bCs w:val="false"/>
                <w:sz w:val="19"/>
                <w:szCs w:val="19"/>
              </w:rPr>
              <w:t xml:space="preserve">Aug 2026</w:t>
            </w:r>
          </w:p>
        </w:tc>
        <w:tc>
          <w:tcPr>
            <w:tcW w:type="dxa" w:w="1680"/>
            <w:tcMar>
              <w:top w:type="dxa" w:w="60"/>
              <w:left w:type="dxa" w:w="100"/>
              <w:bottom w:type="dxa" w:w="60"/>
              <w:right w:type="dxa" w:w="100"/>
            </w:tcMar>
            <w:vAlign w:val="center"/>
          </w:tcPr>
          <w:p>
            <w:r>
              <w:rPr>
                <w:b w:val="false"/>
                <w:bCs w:val="false"/>
                <w:sz w:val="19"/>
                <w:szCs w:val="19"/>
              </w:rPr>
              <w:t xml:space="preserve">2.9% (Jul 2026)</w:t>
            </w:r>
          </w:p>
        </w:tc>
        <w:tc>
          <w:tcPr>
            <w:tcW w:type="dxa" w:w="1680"/>
            <w:tcMar>
              <w:top w:type="dxa" w:w="60"/>
              <w:left w:type="dxa" w:w="100"/>
              <w:bottom w:type="dxa" w:w="60"/>
              <w:right w:type="dxa" w:w="100"/>
            </w:tcMar>
            <w:vAlign w:val="center"/>
          </w:tcPr>
          <w:p>
            <w:r>
              <w:rPr>
                <w:b w:val="false"/>
                <w:bCs w:val="false"/>
                <w:sz w:val="19"/>
                <w:szCs w:val="19"/>
              </w:rPr>
              <w:t xml:space="preserve">1 Sep 2026 (flash); 17 Sep 2026 (final)</w:t>
            </w:r>
          </w:p>
        </w:tc>
        <w:tc>
          <w:tcPr>
            <w:tcW w:type="dxa" w:w="1680"/>
            <w:tcMar>
              <w:top w:type="dxa" w:w="60"/>
              <w:left w:type="dxa" w:w="100"/>
              <w:bottom w:type="dxa" w:w="60"/>
              <w:right w:type="dxa" w:w="100"/>
            </w:tcMar>
            <w:vAlign w:val="center"/>
          </w:tcPr>
          <w:p>
            <w:r>
              <w:rPr>
                <w:b w:val="false"/>
                <w:bCs w:val="false"/>
                <w:sz w:val="19"/>
                <w:szCs w:val="19"/>
              </w:rPr>
              <w:t xml:space="preserve">Eurostat</w:t>
            </w:r>
          </w:p>
        </w:tc>
      </w:tr>
      <w:tr>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China</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0.8%</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0.5% (Jul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9 Sep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NBS</w:t>
            </w:r>
          </w:p>
        </w:tc>
      </w:tr>
    </w:tbl>
    <w:p>
      <w:pPr>
        <w:spacing w:after="160"/>
      </w:pPr>
    </w:p>
    <w:p>
      <w:pPr>
        <w:pStyle w:val="Heading2"/>
        <w:spacing w:after="120" w:before="240"/>
      </w:pPr>
      <w:r>
        <w:t xml:space="preserve">Industrial Production (YoY, unless noted)</w:t>
      </w:r>
    </w:p>
    <w:tbl>
      <w:tblPr>
        <w:tblW w:type="dxa" w:w="10080"/>
        <w:tblBorders>
          <w:top w:val="single" w:color="B0B0B0" w:sz="2"/>
          <w:left w:val="single" w:color="B0B0B0" w:sz="2"/>
          <w:bottom w:val="single" w:color="B0B0B0" w:sz="2"/>
          <w:right w:val="single" w:color="B0B0B0" w:sz="2"/>
          <w:insideH w:val="single" w:color="D9D9D9" w:sz="2"/>
          <w:insideV w:val="single" w:color="D9D9D9" w:sz="2"/>
        </w:tblBorders>
      </w:tblPr>
      <w:tblGrid>
        <w:gridCol w:w="1680"/>
        <w:gridCol w:w="1680"/>
        <w:gridCol w:w="1680"/>
        <w:gridCol w:w="1680"/>
        <w:gridCol w:w="1680"/>
        <w:gridCol w:w="1680"/>
      </w:tblGrid>
      <w:tr>
        <w:trPr>
          <w:tblHeader/>
        </w:trPr>
        <w:tc>
          <w:tcPr>
            <w:tcW w:type="dxa" w:w="1680"/>
            <w:shd w:fill="1F3864" w:color="auto" w:val="clear"/>
            <w:tcMar>
              <w:top w:type="dxa" w:w="60"/>
              <w:left w:type="dxa" w:w="100"/>
              <w:bottom w:type="dxa" w:w="60"/>
              <w:right w:type="dxa" w:w="100"/>
            </w:tcMar>
            <w:vAlign w:val="center"/>
          </w:tcPr>
          <w:p>
            <w:r>
              <w:rPr>
                <w:b/>
                <w:bCs/>
                <w:color w:val="FFFFFF"/>
                <w:sz w:val="19"/>
                <w:szCs w:val="19"/>
              </w:rPr>
              <w:t xml:space="preserve">Economy</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Latest</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Reading Period</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Previous Period</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Release Date</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Source</w:t>
            </w:r>
          </w:p>
        </w:tc>
      </w:tr>
      <w:tr>
        <w:tc>
          <w:tcPr>
            <w:tcW w:type="dxa" w:w="1680"/>
            <w:tcMar>
              <w:top w:type="dxa" w:w="60"/>
              <w:left w:type="dxa" w:w="100"/>
              <w:bottom w:type="dxa" w:w="60"/>
              <w:right w:type="dxa" w:w="100"/>
            </w:tcMar>
            <w:vAlign w:val="center"/>
          </w:tcPr>
          <w:p>
            <w:r>
              <w:rPr>
                <w:b w:val="false"/>
                <w:bCs w:val="false"/>
                <w:sz w:val="19"/>
                <w:szCs w:val="19"/>
              </w:rPr>
              <w:t xml:space="preserve">India (IIP General)</w:t>
            </w:r>
          </w:p>
        </w:tc>
        <w:tc>
          <w:tcPr>
            <w:tcW w:type="dxa" w:w="1680"/>
            <w:tcMar>
              <w:top w:type="dxa" w:w="60"/>
              <w:left w:type="dxa" w:w="100"/>
              <w:bottom w:type="dxa" w:w="60"/>
              <w:right w:type="dxa" w:w="100"/>
            </w:tcMar>
            <w:vAlign w:val="center"/>
          </w:tcPr>
          <w:p>
            <w:r>
              <w:rPr>
                <w:b w:val="false"/>
                <w:bCs w:val="false"/>
                <w:sz w:val="19"/>
                <w:szCs w:val="19"/>
              </w:rPr>
              <w:t xml:space="preserve">6.7%</w:t>
            </w:r>
          </w:p>
        </w:tc>
        <w:tc>
          <w:tcPr>
            <w:tcW w:type="dxa" w:w="1680"/>
            <w:tcMar>
              <w:top w:type="dxa" w:w="60"/>
              <w:left w:type="dxa" w:w="100"/>
              <w:bottom w:type="dxa" w:w="60"/>
              <w:right w:type="dxa" w:w="100"/>
            </w:tcMar>
            <w:vAlign w:val="center"/>
          </w:tcPr>
          <w:p>
            <w:r>
              <w:rPr>
                <w:b w:val="false"/>
                <w:bCs w:val="false"/>
                <w:sz w:val="19"/>
                <w:szCs w:val="19"/>
              </w:rPr>
              <w:t xml:space="preserve">Jul 2026</w:t>
            </w:r>
          </w:p>
        </w:tc>
        <w:tc>
          <w:tcPr>
            <w:tcW w:type="dxa" w:w="1680"/>
            <w:tcMar>
              <w:top w:type="dxa" w:w="60"/>
              <w:left w:type="dxa" w:w="100"/>
              <w:bottom w:type="dxa" w:w="60"/>
              <w:right w:type="dxa" w:w="100"/>
            </w:tcMar>
            <w:vAlign w:val="center"/>
          </w:tcPr>
          <w:p>
            <w:r>
              <w:rPr>
                <w:b w:val="false"/>
                <w:bCs w:val="false"/>
                <w:sz w:val="19"/>
                <w:szCs w:val="19"/>
              </w:rPr>
              <w:t xml:space="preserve">7.3% (Jun 2026)</w:t>
            </w:r>
          </w:p>
        </w:tc>
        <w:tc>
          <w:tcPr>
            <w:tcW w:type="dxa" w:w="1680"/>
            <w:tcMar>
              <w:top w:type="dxa" w:w="60"/>
              <w:left w:type="dxa" w:w="100"/>
              <w:bottom w:type="dxa" w:w="60"/>
              <w:right w:type="dxa" w:w="100"/>
            </w:tcMar>
            <w:vAlign w:val="center"/>
          </w:tcPr>
          <w:p>
            <w:r>
              <w:rPr>
                <w:b w:val="false"/>
                <w:bCs w:val="false"/>
                <w:sz w:val="19"/>
                <w:szCs w:val="19"/>
              </w:rPr>
              <w:t xml:space="preserve">Aug 2026</w:t>
            </w:r>
          </w:p>
        </w:tc>
        <w:tc>
          <w:tcPr>
            <w:tcW w:type="dxa" w:w="1680"/>
            <w:tcMar>
              <w:top w:type="dxa" w:w="60"/>
              <w:left w:type="dxa" w:w="100"/>
              <w:bottom w:type="dxa" w:w="60"/>
              <w:right w:type="dxa" w:w="100"/>
            </w:tcMar>
            <w:vAlign w:val="center"/>
          </w:tcPr>
          <w:p>
            <w:r>
              <w:rPr>
                <w:b w:val="false"/>
                <w:bCs w:val="false"/>
                <w:sz w:val="19"/>
                <w:szCs w:val="19"/>
              </w:rPr>
              <w:t xml:space="preserve">MoSPI</w:t>
            </w:r>
          </w:p>
        </w:tc>
      </w:tr>
      <w:tr>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United States</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not yet released (Aug 2026 data due 18 Sep 2026); latest confirmed: +0.2% MoM</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Jul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+0.3% MoM (Jun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18 Aug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Federal Reserve (G.17)</w:t>
            </w:r>
          </w:p>
        </w:tc>
      </w:tr>
      <w:tr>
        <w:tc>
          <w:tcPr>
            <w:tcW w:type="dxa" w:w="1680"/>
            <w:tcMar>
              <w:top w:type="dxa" w:w="60"/>
              <w:left w:type="dxa" w:w="100"/>
              <w:bottom w:type="dxa" w:w="60"/>
              <w:right w:type="dxa" w:w="100"/>
            </w:tcMar>
            <w:vAlign w:val="center"/>
          </w:tcPr>
          <w:p>
            <w:r>
              <w:rPr>
                <w:b w:val="false"/>
                <w:bCs w:val="false"/>
                <w:sz w:val="19"/>
                <w:szCs w:val="19"/>
              </w:rPr>
              <w:t xml:space="preserve">Euro Area</w:t>
            </w:r>
          </w:p>
        </w:tc>
        <w:tc>
          <w:tcPr>
            <w:tcW w:type="dxa" w:w="1680"/>
            <w:tcMar>
              <w:top w:type="dxa" w:w="60"/>
              <w:left w:type="dxa" w:w="100"/>
              <w:bottom w:type="dxa" w:w="60"/>
              <w:right w:type="dxa" w:w="100"/>
            </w:tcMar>
            <w:vAlign w:val="center"/>
          </w:tcPr>
          <w:p>
            <w:r>
              <w:rPr>
                <w:b w:val="false"/>
                <w:bCs w:val="false"/>
                <w:sz w:val="19"/>
                <w:szCs w:val="19"/>
              </w:rPr>
              <w:t xml:space="preserve">0.0% (stable); -0.1% MoM</w:t>
            </w:r>
          </w:p>
        </w:tc>
        <w:tc>
          <w:tcPr>
            <w:tcW w:type="dxa" w:w="1680"/>
            <w:tcMar>
              <w:top w:type="dxa" w:w="60"/>
              <w:left w:type="dxa" w:w="100"/>
              <w:bottom w:type="dxa" w:w="60"/>
              <w:right w:type="dxa" w:w="100"/>
            </w:tcMar>
            <w:vAlign w:val="center"/>
          </w:tcPr>
          <w:p>
            <w:r>
              <w:rPr>
                <w:b w:val="false"/>
                <w:bCs w:val="false"/>
                <w:sz w:val="19"/>
                <w:szCs w:val="19"/>
              </w:rPr>
              <w:t xml:space="preserve">Jul 2026</w:t>
            </w:r>
          </w:p>
        </w:tc>
        <w:tc>
          <w:tcPr>
            <w:tcW w:type="dxa" w:w="1680"/>
            <w:tcMar>
              <w:top w:type="dxa" w:w="60"/>
              <w:left w:type="dxa" w:w="100"/>
              <w:bottom w:type="dxa" w:w="60"/>
              <w:right w:type="dxa" w:w="100"/>
            </w:tcMar>
            <w:vAlign w:val="center"/>
          </w:tcPr>
          <w:p>
            <w:r>
              <w:rPr>
                <w:b w:val="false"/>
                <w:bCs w:val="false"/>
                <w:sz w:val="19"/>
                <w:szCs w:val="19"/>
              </w:rPr>
              <w:t xml:space="preserve">not separately confirmed</w:t>
            </w:r>
          </w:p>
        </w:tc>
        <w:tc>
          <w:tcPr>
            <w:tcW w:type="dxa" w:w="1680"/>
            <w:tcMar>
              <w:top w:type="dxa" w:w="60"/>
              <w:left w:type="dxa" w:w="100"/>
              <w:bottom w:type="dxa" w:w="60"/>
              <w:right w:type="dxa" w:w="100"/>
            </w:tcMar>
            <w:vAlign w:val="center"/>
          </w:tcPr>
          <w:p>
            <w:r>
              <w:rPr>
                <w:b w:val="false"/>
                <w:bCs w:val="false"/>
                <w:sz w:val="19"/>
                <w:szCs w:val="19"/>
              </w:rPr>
              <w:t xml:space="preserve">16 Sep 2026</w:t>
            </w:r>
          </w:p>
        </w:tc>
        <w:tc>
          <w:tcPr>
            <w:tcW w:type="dxa" w:w="1680"/>
            <w:tcMar>
              <w:top w:type="dxa" w:w="60"/>
              <w:left w:type="dxa" w:w="100"/>
              <w:bottom w:type="dxa" w:w="60"/>
              <w:right w:type="dxa" w:w="100"/>
            </w:tcMar>
            <w:vAlign w:val="center"/>
          </w:tcPr>
          <w:p>
            <w:r>
              <w:rPr>
                <w:b w:val="false"/>
                <w:bCs w:val="false"/>
                <w:sz w:val="19"/>
                <w:szCs w:val="19"/>
              </w:rPr>
              <w:t xml:space="preserve">Eurostat</w:t>
            </w:r>
          </w:p>
        </w:tc>
      </w:tr>
      <w:tr>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China</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5.2%</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4.5% (Jul 2026, implied)</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15 Sep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NBS</w:t>
            </w:r>
          </w:p>
        </w:tc>
      </w:tr>
    </w:tbl>
    <w:p>
      <w:pPr>
        <w:spacing w:after="160"/>
      </w:pPr>
    </w:p>
    <w:p>
      <w:pPr>
        <w:pStyle w:val="Heading2"/>
        <w:spacing w:after="120" w:before="240"/>
      </w:pPr>
      <w:r>
        <w:t xml:space="preserve">Unemployment Rate</w:t>
      </w:r>
    </w:p>
    <w:tbl>
      <w:tblPr>
        <w:tblW w:type="dxa" w:w="10080"/>
        <w:tblBorders>
          <w:top w:val="single" w:color="B0B0B0" w:sz="2"/>
          <w:left w:val="single" w:color="B0B0B0" w:sz="2"/>
          <w:bottom w:val="single" w:color="B0B0B0" w:sz="2"/>
          <w:right w:val="single" w:color="B0B0B0" w:sz="2"/>
          <w:insideH w:val="single" w:color="D9D9D9" w:sz="2"/>
          <w:insideV w:val="single" w:color="D9D9D9" w:sz="2"/>
        </w:tblBorders>
      </w:tblPr>
      <w:tblGrid>
        <w:gridCol w:w="1680"/>
        <w:gridCol w:w="1680"/>
        <w:gridCol w:w="1680"/>
        <w:gridCol w:w="1680"/>
        <w:gridCol w:w="1680"/>
        <w:gridCol w:w="1680"/>
      </w:tblGrid>
      <w:tr>
        <w:trPr>
          <w:tblHeader/>
        </w:trPr>
        <w:tc>
          <w:tcPr>
            <w:tcW w:type="dxa" w:w="1680"/>
            <w:shd w:fill="1F3864" w:color="auto" w:val="clear"/>
            <w:tcMar>
              <w:top w:type="dxa" w:w="60"/>
              <w:left w:type="dxa" w:w="100"/>
              <w:bottom w:type="dxa" w:w="60"/>
              <w:right w:type="dxa" w:w="100"/>
            </w:tcMar>
            <w:vAlign w:val="center"/>
          </w:tcPr>
          <w:p>
            <w:r>
              <w:rPr>
                <w:b/>
                <w:bCs/>
                <w:color w:val="FFFFFF"/>
                <w:sz w:val="19"/>
                <w:szCs w:val="19"/>
              </w:rPr>
              <w:t xml:space="preserve">Economy</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Latest</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Reading Period</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Previous Period</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Release Date</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Source</w:t>
            </w:r>
          </w:p>
        </w:tc>
      </w:tr>
      <w:tr>
        <w:tc>
          <w:tcPr>
            <w:tcW w:type="dxa" w:w="1680"/>
            <w:tcMar>
              <w:top w:type="dxa" w:w="60"/>
              <w:left w:type="dxa" w:w="100"/>
              <w:bottom w:type="dxa" w:w="60"/>
              <w:right w:type="dxa" w:w="100"/>
            </w:tcMar>
            <w:vAlign w:val="center"/>
          </w:tcPr>
          <w:p>
            <w:r>
              <w:rPr>
                <w:b w:val="false"/>
                <w:bCs w:val="false"/>
                <w:sz w:val="19"/>
                <w:szCs w:val="19"/>
              </w:rPr>
              <w:t xml:space="preserve">India (PLFS, 15+)</w:t>
            </w:r>
          </w:p>
        </w:tc>
        <w:tc>
          <w:tcPr>
            <w:tcW w:type="dxa" w:w="1680"/>
            <w:tcMar>
              <w:top w:type="dxa" w:w="60"/>
              <w:left w:type="dxa" w:w="100"/>
              <w:bottom w:type="dxa" w:w="60"/>
              <w:right w:type="dxa" w:w="100"/>
            </w:tcMar>
            <w:vAlign w:val="center"/>
          </w:tcPr>
          <w:p>
            <w:r>
              <w:rPr>
                <w:b w:val="false"/>
                <w:bCs w:val="false"/>
                <w:sz w:val="19"/>
                <w:szCs w:val="19"/>
              </w:rPr>
              <w:t xml:space="preserve">5.0%</w:t>
            </w:r>
          </w:p>
        </w:tc>
        <w:tc>
          <w:tcPr>
            <w:tcW w:type="dxa" w:w="1680"/>
            <w:tcMar>
              <w:top w:type="dxa" w:w="60"/>
              <w:left w:type="dxa" w:w="100"/>
              <w:bottom w:type="dxa" w:w="60"/>
              <w:right w:type="dxa" w:w="100"/>
            </w:tcMar>
            <w:vAlign w:val="center"/>
          </w:tcPr>
          <w:p>
            <w:r>
              <w:rPr>
                <w:b w:val="false"/>
                <w:bCs w:val="false"/>
                <w:sz w:val="19"/>
                <w:szCs w:val="19"/>
              </w:rPr>
              <w:t xml:space="preserve">Aug 2026</w:t>
            </w:r>
          </w:p>
        </w:tc>
        <w:tc>
          <w:tcPr>
            <w:tcW w:type="dxa" w:w="1680"/>
            <w:tcMar>
              <w:top w:type="dxa" w:w="60"/>
              <w:left w:type="dxa" w:w="100"/>
              <w:bottom w:type="dxa" w:w="60"/>
              <w:right w:type="dxa" w:w="100"/>
            </w:tcMar>
            <w:vAlign w:val="center"/>
          </w:tcPr>
          <w:p>
            <w:r>
              <w:rPr>
                <w:b w:val="false"/>
                <w:bCs w:val="false"/>
                <w:sz w:val="19"/>
                <w:szCs w:val="19"/>
              </w:rPr>
              <w:t xml:space="preserve">5.1% (Jul 2026)</w:t>
            </w:r>
          </w:p>
        </w:tc>
        <w:tc>
          <w:tcPr>
            <w:tcW w:type="dxa" w:w="1680"/>
            <w:tcMar>
              <w:top w:type="dxa" w:w="60"/>
              <w:left w:type="dxa" w:w="100"/>
              <w:bottom w:type="dxa" w:w="60"/>
              <w:right w:type="dxa" w:w="100"/>
            </w:tcMar>
            <w:vAlign w:val="center"/>
          </w:tcPr>
          <w:p>
            <w:r>
              <w:rPr>
                <w:b w:val="false"/>
                <w:bCs w:val="false"/>
                <w:sz w:val="19"/>
                <w:szCs w:val="19"/>
              </w:rPr>
              <w:t xml:space="preserve">15 Sep 2026</w:t>
            </w:r>
          </w:p>
        </w:tc>
        <w:tc>
          <w:tcPr>
            <w:tcW w:type="dxa" w:w="1680"/>
            <w:tcMar>
              <w:top w:type="dxa" w:w="60"/>
              <w:left w:type="dxa" w:w="100"/>
              <w:bottom w:type="dxa" w:w="60"/>
              <w:right w:type="dxa" w:w="100"/>
            </w:tcMar>
            <w:vAlign w:val="center"/>
          </w:tcPr>
          <w:p>
            <w:r>
              <w:rPr>
                <w:b w:val="false"/>
                <w:bCs w:val="false"/>
                <w:sz w:val="19"/>
                <w:szCs w:val="19"/>
              </w:rPr>
              <w:t xml:space="preserve">MoSPI</w:t>
            </w:r>
          </w:p>
        </w:tc>
      </w:tr>
      <w:tr>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United States</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4.1%</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4.1% (Jul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4 Sep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BLS</w:t>
            </w:r>
          </w:p>
        </w:tc>
      </w:tr>
      <w:tr>
        <w:tc>
          <w:tcPr>
            <w:tcW w:type="dxa" w:w="1680"/>
            <w:tcMar>
              <w:top w:type="dxa" w:w="60"/>
              <w:left w:type="dxa" w:w="100"/>
              <w:bottom w:type="dxa" w:w="60"/>
              <w:right w:type="dxa" w:w="100"/>
            </w:tcMar>
            <w:vAlign w:val="center"/>
          </w:tcPr>
          <w:p>
            <w:r>
              <w:rPr>
                <w:b w:val="false"/>
                <w:bCs w:val="false"/>
                <w:sz w:val="19"/>
                <w:szCs w:val="19"/>
              </w:rPr>
              <w:t xml:space="preserve">Euro Area</w:t>
            </w:r>
          </w:p>
        </w:tc>
        <w:tc>
          <w:tcPr>
            <w:tcW w:type="dxa" w:w="1680"/>
            <w:tcMar>
              <w:top w:type="dxa" w:w="60"/>
              <w:left w:type="dxa" w:w="100"/>
              <w:bottom w:type="dxa" w:w="60"/>
              <w:right w:type="dxa" w:w="100"/>
            </w:tcMar>
            <w:vAlign w:val="center"/>
          </w:tcPr>
          <w:p>
            <w:r>
              <w:rPr>
                <w:b w:val="false"/>
                <w:bCs w:val="false"/>
                <w:sz w:val="19"/>
                <w:szCs w:val="19"/>
              </w:rPr>
              <w:t xml:space="preserve">6.4%</w:t>
            </w:r>
          </w:p>
        </w:tc>
        <w:tc>
          <w:tcPr>
            <w:tcW w:type="dxa" w:w="1680"/>
            <w:tcMar>
              <w:top w:type="dxa" w:w="60"/>
              <w:left w:type="dxa" w:w="100"/>
              <w:bottom w:type="dxa" w:w="60"/>
              <w:right w:type="dxa" w:w="100"/>
            </w:tcMar>
            <w:vAlign w:val="center"/>
          </w:tcPr>
          <w:p>
            <w:r>
              <w:rPr>
                <w:b w:val="false"/>
                <w:bCs w:val="false"/>
                <w:sz w:val="19"/>
                <w:szCs w:val="19"/>
              </w:rPr>
              <w:t xml:space="preserve">Jul 2026</w:t>
            </w:r>
          </w:p>
        </w:tc>
        <w:tc>
          <w:tcPr>
            <w:tcW w:type="dxa" w:w="1680"/>
            <w:tcMar>
              <w:top w:type="dxa" w:w="60"/>
              <w:left w:type="dxa" w:w="100"/>
              <w:bottom w:type="dxa" w:w="60"/>
              <w:right w:type="dxa" w:w="100"/>
            </w:tcMar>
            <w:vAlign w:val="center"/>
          </w:tcPr>
          <w:p>
            <w:r>
              <w:rPr>
                <w:b w:val="false"/>
                <w:bCs w:val="false"/>
                <w:sz w:val="19"/>
                <w:szCs w:val="19"/>
              </w:rPr>
              <w:t xml:space="preserve">6.4% (Jun 2026)</w:t>
            </w:r>
          </w:p>
        </w:tc>
        <w:tc>
          <w:tcPr>
            <w:tcW w:type="dxa" w:w="1680"/>
            <w:tcMar>
              <w:top w:type="dxa" w:w="60"/>
              <w:left w:type="dxa" w:w="100"/>
              <w:bottom w:type="dxa" w:w="60"/>
              <w:right w:type="dxa" w:w="100"/>
            </w:tcMar>
            <w:vAlign w:val="center"/>
          </w:tcPr>
          <w:p>
            <w:r>
              <w:rPr>
                <w:b w:val="false"/>
                <w:bCs w:val="false"/>
                <w:sz w:val="19"/>
                <w:szCs w:val="19"/>
              </w:rPr>
              <w:t xml:space="preserve">1 Sep 2026</w:t>
            </w:r>
          </w:p>
        </w:tc>
        <w:tc>
          <w:tcPr>
            <w:tcW w:type="dxa" w:w="1680"/>
            <w:tcMar>
              <w:top w:type="dxa" w:w="60"/>
              <w:left w:type="dxa" w:w="100"/>
              <w:bottom w:type="dxa" w:w="60"/>
              <w:right w:type="dxa" w:w="100"/>
            </w:tcMar>
            <w:vAlign w:val="center"/>
          </w:tcPr>
          <w:p>
            <w:r>
              <w:rPr>
                <w:b w:val="false"/>
                <w:bCs w:val="false"/>
                <w:sz w:val="19"/>
                <w:szCs w:val="19"/>
              </w:rPr>
              <w:t xml:space="preserve">Eurostat</w:t>
            </w:r>
          </w:p>
        </w:tc>
      </w:tr>
      <w:tr>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China (Surveyed Urban)</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5.3%</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5.2% (Jul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15 Sep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NBS</w:t>
            </w:r>
          </w:p>
        </w:tc>
      </w:tr>
    </w:tbl>
    <w:p>
      <w:pPr>
        <w:spacing w:after="160"/>
      </w:pPr>
    </w:p>
    <w:p>
      <w:pPr>
        <w:pStyle w:val="Heading2"/>
        <w:spacing w:after="120" w:before="240"/>
      </w:pPr>
      <w:r>
        <w:t xml:space="preserve">Policy Rates</w:t>
      </w:r>
    </w:p>
    <w:tbl>
      <w:tblPr>
        <w:tblW w:type="dxa" w:w="10080"/>
        <w:tblBorders>
          <w:top w:val="single" w:color="B0B0B0" w:sz="2"/>
          <w:left w:val="single" w:color="B0B0B0" w:sz="2"/>
          <w:bottom w:val="single" w:color="B0B0B0" w:sz="2"/>
          <w:right w:val="single" w:color="B0B0B0" w:sz="2"/>
          <w:insideH w:val="single" w:color="D9D9D9" w:sz="2"/>
          <w:insideV w:val="single" w:color="D9D9D9" w:sz="2"/>
        </w:tblBorders>
      </w:tblPr>
      <w:tblGrid>
        <w:gridCol w:w="1680"/>
        <w:gridCol w:w="1680"/>
        <w:gridCol w:w="1680"/>
        <w:gridCol w:w="1680"/>
        <w:gridCol w:w="1680"/>
        <w:gridCol w:w="1680"/>
      </w:tblGrid>
      <w:tr>
        <w:trPr>
          <w:tblHeader/>
        </w:trPr>
        <w:tc>
          <w:tcPr>
            <w:tcW w:type="dxa" w:w="1680"/>
            <w:shd w:fill="1F3864" w:color="auto" w:val="clear"/>
            <w:tcMar>
              <w:top w:type="dxa" w:w="60"/>
              <w:left w:type="dxa" w:w="100"/>
              <w:bottom w:type="dxa" w:w="60"/>
              <w:right w:type="dxa" w:w="100"/>
            </w:tcMar>
            <w:vAlign w:val="center"/>
          </w:tcPr>
          <w:p>
            <w:r>
              <w:rPr>
                <w:b/>
                <w:bCs/>
                <w:color w:val="FFFFFF"/>
                <w:sz w:val="19"/>
                <w:szCs w:val="19"/>
              </w:rPr>
              <w:t xml:space="preserve">Economy</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Latest Rate</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Decision Date</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Previous Rate</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Next Meeting</w:t>
            </w:r>
          </w:p>
        </w:tc>
        <w:tc>
          <w:tcPr>
            <w:tcW w:type="dxa" w:w="1680"/>
            <w:shd w:fill="1F3864" w:color="auto" w:val="clear"/>
            <w:tcMar>
              <w:top w:type="dxa" w:w="60"/>
              <w:left w:type="dxa" w:w="100"/>
              <w:bottom w:type="dxa" w:w="60"/>
              <w:right w:type="dxa" w:w="100"/>
            </w:tcMar>
            <w:vAlign w:val="center"/>
          </w:tcPr>
          <w:p>
            <w:r>
              <w:rPr>
                <w:b/>
                <w:bCs/>
                <w:color w:val="FFFFFF"/>
                <w:sz w:val="19"/>
                <w:szCs w:val="19"/>
              </w:rPr>
              <w:t xml:space="preserve">Source</w:t>
            </w:r>
          </w:p>
        </w:tc>
      </w:tr>
      <w:tr>
        <w:tc>
          <w:tcPr>
            <w:tcW w:type="dxa" w:w="1680"/>
            <w:tcMar>
              <w:top w:type="dxa" w:w="60"/>
              <w:left w:type="dxa" w:w="100"/>
              <w:bottom w:type="dxa" w:w="60"/>
              <w:right w:type="dxa" w:w="100"/>
            </w:tcMar>
            <w:vAlign w:val="center"/>
          </w:tcPr>
          <w:p>
            <w:r>
              <w:rPr>
                <w:b w:val="false"/>
                <w:bCs w:val="false"/>
                <w:sz w:val="19"/>
                <w:szCs w:val="19"/>
              </w:rPr>
              <w:t xml:space="preserve">India (RBI Repo Rate)</w:t>
            </w:r>
          </w:p>
        </w:tc>
        <w:tc>
          <w:tcPr>
            <w:tcW w:type="dxa" w:w="1680"/>
            <w:tcMar>
              <w:top w:type="dxa" w:w="60"/>
              <w:left w:type="dxa" w:w="100"/>
              <w:bottom w:type="dxa" w:w="60"/>
              <w:right w:type="dxa" w:w="100"/>
            </w:tcMar>
            <w:vAlign w:val="center"/>
          </w:tcPr>
          <w:p>
            <w:r>
              <w:rPr>
                <w:b w:val="false"/>
                <w:bCs w:val="false"/>
                <w:sz w:val="19"/>
                <w:szCs w:val="19"/>
              </w:rPr>
              <w:t xml:space="preserve">5.25%</w:t>
            </w:r>
          </w:p>
        </w:tc>
        <w:tc>
          <w:tcPr>
            <w:tcW w:type="dxa" w:w="1680"/>
            <w:tcMar>
              <w:top w:type="dxa" w:w="60"/>
              <w:left w:type="dxa" w:w="100"/>
              <w:bottom w:type="dxa" w:w="60"/>
              <w:right w:type="dxa" w:w="100"/>
            </w:tcMar>
            <w:vAlign w:val="center"/>
          </w:tcPr>
          <w:p>
            <w:r>
              <w:rPr>
                <w:b w:val="false"/>
                <w:bCs w:val="false"/>
                <w:sz w:val="19"/>
                <w:szCs w:val="19"/>
              </w:rPr>
              <w:t xml:space="preserve">5 Aug 2026 (held)</w:t>
            </w:r>
          </w:p>
        </w:tc>
        <w:tc>
          <w:tcPr>
            <w:tcW w:type="dxa" w:w="1680"/>
            <w:tcMar>
              <w:top w:type="dxa" w:w="60"/>
              <w:left w:type="dxa" w:w="100"/>
              <w:bottom w:type="dxa" w:w="60"/>
              <w:right w:type="dxa" w:w="100"/>
            </w:tcMar>
            <w:vAlign w:val="center"/>
          </w:tcPr>
          <w:p>
            <w:r>
              <w:rPr>
                <w:b w:val="false"/>
                <w:bCs w:val="false"/>
                <w:sz w:val="19"/>
                <w:szCs w:val="19"/>
              </w:rPr>
              <w:t xml:space="preserve">5.25% (Jun 2026)</w:t>
            </w:r>
          </w:p>
        </w:tc>
        <w:tc>
          <w:tcPr>
            <w:tcW w:type="dxa" w:w="1680"/>
            <w:tcMar>
              <w:top w:type="dxa" w:w="60"/>
              <w:left w:type="dxa" w:w="100"/>
              <w:bottom w:type="dxa" w:w="60"/>
              <w:right w:type="dxa" w:w="100"/>
            </w:tcMar>
            <w:vAlign w:val="center"/>
          </w:tcPr>
          <w:p>
            <w:r>
              <w:rPr>
                <w:b w:val="false"/>
                <w:bCs w:val="false"/>
                <w:sz w:val="19"/>
                <w:szCs w:val="19"/>
              </w:rPr>
              <w:t xml:space="preserve">5–7 Oct 2026</w:t>
            </w:r>
          </w:p>
        </w:tc>
        <w:tc>
          <w:tcPr>
            <w:tcW w:type="dxa" w:w="1680"/>
            <w:tcMar>
              <w:top w:type="dxa" w:w="60"/>
              <w:left w:type="dxa" w:w="100"/>
              <w:bottom w:type="dxa" w:w="60"/>
              <w:right w:type="dxa" w:w="100"/>
            </w:tcMar>
            <w:vAlign w:val="center"/>
          </w:tcPr>
          <w:p>
            <w:r>
              <w:rPr>
                <w:b w:val="false"/>
                <w:bCs w:val="false"/>
                <w:sz w:val="19"/>
                <w:szCs w:val="19"/>
              </w:rPr>
              <w:t xml:space="preserve">RBI</w:t>
            </w:r>
          </w:p>
        </w:tc>
      </w:tr>
      <w:tr>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United States (Fed Funds Target)</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3.75%–4.00%</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16 Sep 2026 (hiked 25bp)</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3.50%–3.75%</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not yet announced</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Federal Reserve</w:t>
            </w:r>
          </w:p>
        </w:tc>
      </w:tr>
      <w:tr>
        <w:tc>
          <w:tcPr>
            <w:tcW w:type="dxa" w:w="1680"/>
            <w:tcMar>
              <w:top w:type="dxa" w:w="60"/>
              <w:left w:type="dxa" w:w="100"/>
              <w:bottom w:type="dxa" w:w="60"/>
              <w:right w:type="dxa" w:w="100"/>
            </w:tcMar>
            <w:vAlign w:val="center"/>
          </w:tcPr>
          <w:p>
            <w:r>
              <w:rPr>
                <w:b w:val="false"/>
                <w:bCs w:val="false"/>
                <w:sz w:val="19"/>
                <w:szCs w:val="19"/>
              </w:rPr>
              <w:t xml:space="preserve">Euro Area (ECB Deposit Facility Rate)</w:t>
            </w:r>
          </w:p>
        </w:tc>
        <w:tc>
          <w:tcPr>
            <w:tcW w:type="dxa" w:w="1680"/>
            <w:tcMar>
              <w:top w:type="dxa" w:w="60"/>
              <w:left w:type="dxa" w:w="100"/>
              <w:bottom w:type="dxa" w:w="60"/>
              <w:right w:type="dxa" w:w="100"/>
            </w:tcMar>
            <w:vAlign w:val="center"/>
          </w:tcPr>
          <w:p>
            <w:r>
              <w:rPr>
                <w:b w:val="false"/>
                <w:bCs w:val="false"/>
                <w:sz w:val="19"/>
                <w:szCs w:val="19"/>
              </w:rPr>
              <w:t xml:space="preserve">2.50%</w:t>
            </w:r>
          </w:p>
        </w:tc>
        <w:tc>
          <w:tcPr>
            <w:tcW w:type="dxa" w:w="1680"/>
            <w:tcMar>
              <w:top w:type="dxa" w:w="60"/>
              <w:left w:type="dxa" w:w="100"/>
              <w:bottom w:type="dxa" w:w="60"/>
              <w:right w:type="dxa" w:w="100"/>
            </w:tcMar>
            <w:vAlign w:val="center"/>
          </w:tcPr>
          <w:p>
            <w:r>
              <w:rPr>
                <w:b w:val="false"/>
                <w:bCs w:val="false"/>
                <w:sz w:val="19"/>
                <w:szCs w:val="19"/>
              </w:rPr>
              <w:t xml:space="preserve">10 Sep 2026 (hiked 25bp, effective 16 Sep 2026)</w:t>
            </w:r>
          </w:p>
        </w:tc>
        <w:tc>
          <w:tcPr>
            <w:tcW w:type="dxa" w:w="1680"/>
            <w:tcMar>
              <w:top w:type="dxa" w:w="60"/>
              <w:left w:type="dxa" w:w="100"/>
              <w:bottom w:type="dxa" w:w="60"/>
              <w:right w:type="dxa" w:w="100"/>
            </w:tcMar>
            <w:vAlign w:val="center"/>
          </w:tcPr>
          <w:p>
            <w:r>
              <w:rPr>
                <w:b w:val="false"/>
                <w:bCs w:val="false"/>
                <w:sz w:val="19"/>
                <w:szCs w:val="19"/>
              </w:rPr>
              <w:t xml:space="preserve">2.25%</w:t>
            </w:r>
          </w:p>
        </w:tc>
        <w:tc>
          <w:tcPr>
            <w:tcW w:type="dxa" w:w="1680"/>
            <w:tcMar>
              <w:top w:type="dxa" w:w="60"/>
              <w:left w:type="dxa" w:w="100"/>
              <w:bottom w:type="dxa" w:w="60"/>
              <w:right w:type="dxa" w:w="100"/>
            </w:tcMar>
            <w:vAlign w:val="center"/>
          </w:tcPr>
          <w:p>
            <w:r>
              <w:rPr>
                <w:b w:val="false"/>
                <w:bCs w:val="false"/>
                <w:sz w:val="19"/>
                <w:szCs w:val="19"/>
              </w:rPr>
              <w:t xml:space="preserve">29 Oct 2026</w:t>
            </w:r>
          </w:p>
        </w:tc>
        <w:tc>
          <w:tcPr>
            <w:tcW w:type="dxa" w:w="1680"/>
            <w:tcMar>
              <w:top w:type="dxa" w:w="60"/>
              <w:left w:type="dxa" w:w="100"/>
              <w:bottom w:type="dxa" w:w="60"/>
              <w:right w:type="dxa" w:w="100"/>
            </w:tcMar>
            <w:vAlign w:val="center"/>
          </w:tcPr>
          <w:p>
            <w:r>
              <w:rPr>
                <w:b w:val="false"/>
                <w:bCs w:val="false"/>
                <w:sz w:val="19"/>
                <w:szCs w:val="19"/>
              </w:rPr>
              <w:t xml:space="preserve">ECB</w:t>
            </w:r>
          </w:p>
        </w:tc>
      </w:tr>
      <w:tr>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China (PBoC 1-Yr LPR)</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3.00% (unchanged, 15th consecutive month)</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Aug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3.00%</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~22 Sep 2026</w:t>
            </w:r>
          </w:p>
        </w:tc>
        <w:tc>
          <w:tcPr>
            <w:tcW w:type="dxa" w:w="1680"/>
            <w:shd w:fill="EEF2F7" w:color="auto" w:val="clear"/>
            <w:tcMar>
              <w:top w:type="dxa" w:w="60"/>
              <w:left w:type="dxa" w:w="100"/>
              <w:bottom w:type="dxa" w:w="60"/>
              <w:right w:type="dxa" w:w="100"/>
            </w:tcMar>
            <w:vAlign w:val="center"/>
          </w:tcPr>
          <w:p>
            <w:r>
              <w:rPr>
                <w:b w:val="false"/>
                <w:bCs w:val="false"/>
                <w:sz w:val="19"/>
                <w:szCs w:val="19"/>
              </w:rPr>
              <w:t xml:space="preserve">PBoC</w:t>
            </w:r>
          </w:p>
        </w:tc>
      </w:tr>
    </w:tbl>
    <w:p>
      <w:pPr>
        <w:spacing w:after="160"/>
      </w:pPr>
    </w:p>
    <w:p>
      <w:pPr>
        <w:pStyle w:val="Heading1"/>
        <w:pBdr>
          <w:bottom w:val="single" w:color="1F3864" w:sz="6" w:space="4"/>
        </w:pBdr>
        <w:spacing w:after="160" w:before="320"/>
      </w:pPr>
      <w:r>
        <w:t xml:space="preserve">6. Analysis</w:t>
      </w:r>
    </w:p>
    <w:p>
      <w:pPr>
        <w:pStyle w:val="ListParagraph"/>
        <w:numPr>
          <w:ilvl w:val="0"/>
          <w:numId w:val="2"/>
        </w:numPr>
        <w:spacing w:after="120"/>
      </w:pPr>
      <w:r>
        <w:t xml:space="preserve">India's headline CPI accelerated to 4.82% in August 2026 from 4.45% in July, driven primarily by a jump in food prices (CFPI at 5.95%), moving inflation further from the RBI's 4% mid-point target but still within its 2–6% tolerance band.</w:t>
      </w:r>
    </w:p>
    <w:p>
      <w:pPr>
        <w:pStyle w:val="ListParagraph"/>
        <w:numPr>
          <w:ilvl w:val="0"/>
          <w:numId w:val="2"/>
        </w:numPr>
        <w:spacing w:after="120"/>
      </w:pPr>
      <w:r>
        <w:t xml:space="preserve">Wholesale inflation (WPI) surged to a multi-year high of 9.92%, with fuel &amp; power inflation at 22.93% signalling that global energy price pressures are now feeding through India's pipeline prices well ahead of retail CPI.</w:t>
      </w:r>
    </w:p>
    <w:p>
      <w:pPr>
        <w:pStyle w:val="ListParagraph"/>
        <w:numPr>
          <w:ilvl w:val="0"/>
          <w:numId w:val="2"/>
        </w:numPr>
        <w:spacing w:after="120"/>
      </w:pPr>
      <w:r>
        <w:t xml:space="preserve">The divergence between WPI (9.92%) and CPI (4.82%) points to producers currently absorbing much of the input-cost shock rather than fully passing it to consumers — a margin squeeze that bears watching in coming prints.</w:t>
      </w:r>
    </w:p>
    <w:p>
      <w:pPr>
        <w:pStyle w:val="ListParagraph"/>
        <w:numPr>
          <w:ilvl w:val="0"/>
          <w:numId w:val="2"/>
        </w:numPr>
        <w:spacing w:after="120"/>
      </w:pPr>
      <w:r>
        <w:t xml:space="preserve">Industrial output growth moderated to 6.7% in July from 7.3% in June, with mining contracting 0.9% even as manufacturing (7.3%) and electricity (8.7%) stayed robust — momentum remains broad-based despite the mining drag.</w:t>
      </w:r>
    </w:p>
    <w:p>
      <w:pPr>
        <w:pStyle w:val="ListParagraph"/>
        <w:numPr>
          <w:ilvl w:val="0"/>
          <w:numId w:val="2"/>
        </w:numPr>
        <w:spacing w:after="120"/>
      </w:pPr>
      <w:r>
        <w:t xml:space="preserve">India's external trade showed strong headline growth (exports +26% YoY) but the merchandise deficit widened to $26.86 billion; a robust services surplus ($17.45 billion) continued to substantially offset the goods gap, keeping the combined deficit contained at $9.41 billion.</w:t>
      </w:r>
    </w:p>
    <w:p>
      <w:pPr>
        <w:pStyle w:val="ListParagraph"/>
        <w:numPr>
          <w:ilvl w:val="0"/>
          <w:numId w:val="2"/>
        </w:numPr>
        <w:spacing w:after="120"/>
      </w:pPr>
      <w:r>
        <w:t xml:space="preserve">The labour market improved incrementally, with the PLFS unemployment rate easing to 5.0% in August, a six-month low, aided by falling rural joblessness — a positive signal alongside otherwise mixed price data.</w:t>
      </w:r>
    </w:p>
    <w:p>
      <w:pPr>
        <w:pStyle w:val="ListParagraph"/>
        <w:numPr>
          <w:ilvl w:val="0"/>
          <w:numId w:val="2"/>
        </w:numPr>
        <w:spacing w:after="120"/>
      </w:pPr>
      <w:r>
        <w:t xml:space="preserve">The RBI held the repo rate at 5.25% for a fourth straight review in August, maintaining its neutral stance as it weighs rising inflation risk from global energy prices against a firm growth outlook; the October 5–7 meeting will be closely watched for any shift in tone.</w:t>
      </w:r>
    </w:p>
    <w:p>
      <w:pPr>
        <w:pStyle w:val="ListParagraph"/>
        <w:numPr>
          <w:ilvl w:val="0"/>
          <w:numId w:val="2"/>
        </w:numPr>
        <w:spacing w:after="120"/>
      </w:pPr>
      <w:r>
        <w:t xml:space="preserve">Globally, both the Fed (to 3.75–4.00%) and the ECB (deposit rate to 2.50%) delivered rate hikes in September — a rare synchronized tightening move — as elevated crude oil prices tied to Middle East tensions pushed inflation higher across the US (3.4%) and euro area (3.2%), while China's price pressures remain comparatively muted (CPI 0.8%) and the PBoC continues to hold rates steady to support growth.</w:t>
      </w:r>
    </w:p>
    <w:p>
      <w:pPr>
        <w:pStyle w:val="Heading1"/>
        <w:pBdr>
          <w:bottom w:val="single" w:color="1F3864" w:sz="6" w:space="4"/>
        </w:pBdr>
        <w:spacing w:after="160" w:before="320"/>
      </w:pPr>
      <w:r>
        <w:t xml:space="preserve">Sources</w:t>
      </w:r>
    </w:p>
    <w:p>
      <w:pPr>
        <w:pStyle w:val="ListParagraph"/>
        <w:numPr>
          <w:ilvl w:val="0"/>
          <w:numId w:val="1"/>
        </w:numPr>
        <w:spacing w:after="60"/>
      </w:pPr>
      <w:r>
        <w:t xml:space="preserve">MoSPI (Ministry of Statistics and Programme Implementation) — CPI, IIP, PLFS press releases</w:t>
      </w:r>
    </w:p>
    <w:p>
      <w:pPr>
        <w:pStyle w:val="ListParagraph"/>
        <w:numPr>
          <w:ilvl w:val="0"/>
          <w:numId w:val="1"/>
        </w:numPr>
        <w:spacing w:after="60"/>
      </w:pPr>
      <w:r>
        <w:t xml:space="preserve">PIB (Press Information Bureau, Government of India)</w:t>
      </w:r>
    </w:p>
    <w:p>
      <w:pPr>
        <w:pStyle w:val="ListParagraph"/>
        <w:numPr>
          <w:ilvl w:val="0"/>
          <w:numId w:val="1"/>
        </w:numPr>
        <w:spacing w:after="60"/>
      </w:pPr>
      <w:r>
        <w:t xml:space="preserve">Office of Economic Adviser (OEA), Ministry of Commerce &amp; Industry — WPI</w:t>
      </w:r>
    </w:p>
    <w:p>
      <w:pPr>
        <w:pStyle w:val="ListParagraph"/>
        <w:numPr>
          <w:ilvl w:val="0"/>
          <w:numId w:val="1"/>
        </w:numPr>
        <w:spacing w:after="60"/>
      </w:pPr>
      <w:r>
        <w:t xml:space="preserve">Ministry of Commerce &amp; Industry / DGCI&amp;S — merchandise and services trade data</w:t>
      </w:r>
    </w:p>
    <w:p>
      <w:pPr>
        <w:pStyle w:val="ListParagraph"/>
        <w:numPr>
          <w:ilvl w:val="0"/>
          <w:numId w:val="1"/>
        </w:numPr>
        <w:spacing w:after="60"/>
      </w:pPr>
      <w:r>
        <w:t xml:space="preserve">Reserve Bank of India (RBI) — repo rate, G-Sec yield</w:t>
      </w:r>
    </w:p>
    <w:p>
      <w:pPr>
        <w:pStyle w:val="ListParagraph"/>
        <w:numPr>
          <w:ilvl w:val="0"/>
          <w:numId w:val="1"/>
        </w:numPr>
        <w:spacing w:after="60"/>
      </w:pPr>
      <w:r>
        <w:t xml:space="preserve">U.S. Bureau of Labor Statistics (BLS) — CPI, employment situation</w:t>
      </w:r>
    </w:p>
    <w:p>
      <w:pPr>
        <w:pStyle w:val="ListParagraph"/>
        <w:numPr>
          <w:ilvl w:val="0"/>
          <w:numId w:val="1"/>
        </w:numPr>
        <w:spacing w:after="60"/>
      </w:pPr>
      <w:r>
        <w:t xml:space="preserve">Federal Reserve — G.17 Industrial Production, FOMC rate decisions</w:t>
      </w:r>
    </w:p>
    <w:p>
      <w:pPr>
        <w:pStyle w:val="ListParagraph"/>
        <w:numPr>
          <w:ilvl w:val="0"/>
          <w:numId w:val="1"/>
        </w:numPr>
        <w:spacing w:after="60"/>
      </w:pPr>
      <w:r>
        <w:t xml:space="preserve">Eurostat — euro area inflation, industrial production, unemployment</w:t>
      </w:r>
    </w:p>
    <w:p>
      <w:pPr>
        <w:pStyle w:val="ListParagraph"/>
        <w:numPr>
          <w:ilvl w:val="0"/>
          <w:numId w:val="1"/>
        </w:numPr>
        <w:spacing w:after="60"/>
      </w:pPr>
      <w:r>
        <w:t xml:space="preserve">European Central Bank (ECB) — policy rate decisions</w:t>
      </w:r>
    </w:p>
    <w:p>
      <w:pPr>
        <w:pStyle w:val="ListParagraph"/>
        <w:numPr>
          <w:ilvl w:val="0"/>
          <w:numId w:val="1"/>
        </w:numPr>
        <w:spacing w:after="60"/>
      </w:pPr>
      <w:r>
        <w:t xml:space="preserve">National Bureau of Statistics of China (NBS) — CPI, industrial production, unemployment</w:t>
      </w:r>
    </w:p>
    <w:p>
      <w:pPr>
        <w:pStyle w:val="ListParagraph"/>
        <w:numPr>
          <w:ilvl w:val="0"/>
          <w:numId w:val="1"/>
        </w:numPr>
        <w:spacing w:after="60"/>
      </w:pPr>
      <w:r>
        <w:t xml:space="preserve">People's Bank of China (PBoC) — Loan Prime Rate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40"/>
      <w:szCs w:val="40"/>
    </w:rPr>
  </w:style>
  <w:style w:type="paragraph" w:styleId="Heading1">
    <w:name w:val="Heading 1"/>
    <w:basedOn w:val="Normal"/>
    <w:next w:val="Normal"/>
    <w:rPr>
      <w:rFonts w:ascii="Calibri" w:cs="Calibri" w:eastAsia="Calibri" w:hAnsi="Calibri"/>
      <w:b/>
      <w:bCs/>
      <w:color w:val="1F3864"/>
      <w:sz w:val="26"/>
      <w:szCs w:val="26"/>
    </w:rPr>
  </w:style>
  <w:style w:type="paragraph" w:styleId="Heading2">
    <w:name w:val="Heading 2"/>
    <w:basedOn w:val="Normal"/>
    <w:next w:val="Normal"/>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2026-09-18T04:40:07.536Z</dcterms:created>
  <dcterms:modified xsi:type="dcterms:W3CDTF">2026-09-18T04:40:07.537Z</dcterms:modified>
</cp:coreProperties>
</file>

<file path=docProps/custom.xml><?xml version="1.0" encoding="utf-8"?>
<Properties xmlns="http://schemas.openxmlformats.org/officeDocument/2006/custom-properties" xmlns:vt="http://schemas.openxmlformats.org/officeDocument/2006/docPropsVTypes"/>
</file>