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F6F2E"/>
          <w:sz w:val="48"/>
          <w:szCs w:val="48"/>
        </w:rPr>
        <w:t xml:space="preserve">HIRELESSLY</w:t>
      </w:r>
    </w:p>
    <w:p>
      <w:pPr>
        <w:spacing w:after="40"/>
      </w:pPr>
      <w:r>
        <w:rPr>
          <w:rFonts w:ascii="Arial" w:cs="Arial" w:eastAsia="Arial" w:hAnsi="Arial"/>
          <w:b/>
          <w:bCs/>
          <w:color w:val="1A1410"/>
          <w:sz w:val="36"/>
          <w:szCs w:val="36"/>
        </w:rPr>
        <w:t xml:space="preserve">Pricing Benchmark Report</w:t>
      </w:r>
    </w:p>
    <w:p>
      <w:pPr>
        <w:spacing w:after="400"/>
      </w:pPr>
      <w:r>
        <w:rPr>
          <w:rFonts w:ascii="Inter" w:cs="Inter" w:eastAsia="Inter" w:hAnsi="Inter"/>
          <w:i/>
          <w:iCs/>
          <w:color w:val="666666"/>
          <w:sz w:val="22"/>
          <w:szCs w:val="22"/>
        </w:rPr>
        <w:t xml:space="preserve">April 2026  |  Confidential</w:t>
      </w:r>
    </w:p>
    <w:p>
      <w:pPr>
        <w:pStyle w:val="Heading1"/>
        <w:spacing w:after="200" w:before="360"/>
      </w:pPr>
      <w:r>
        <w:rPr>
          <w:rFonts w:ascii="Arial" w:cs="Arial" w:eastAsia="Arial" w:hAnsi="Arial"/>
          <w:b/>
          <w:bCs/>
          <w:color w:val="EF6F2E"/>
          <w:sz w:val="32"/>
          <w:szCs w:val="32"/>
        </w:rPr>
        <w:t xml:space="preserve">1. Executive Summary</w:t>
      </w:r>
    </w:p>
    <w:p>
      <w:pPr>
        <w:spacing w:after="160"/>
      </w:pPr>
      <w:r>
        <w:rPr>
          <w:rFonts w:ascii="Inter" w:cs="Inter" w:eastAsia="Inter" w:hAnsi="Inter"/>
          <w:sz w:val="21"/>
          <w:szCs w:val="21"/>
        </w:rPr>
        <w:t xml:space="preserve">This report benchmarks Hirelessly’s pricing against 25+ competitors across AI agent platforms, traditional VA agencies, AI chatbot tools, and white-label automation platforms. Key findings:</w:t>
      </w:r>
    </w:p>
    <w:p>
      <w:pPr>
        <w:spacing w:after="160"/>
      </w:pPr>
      <w:r>
        <w:rPr>
          <w:rFonts w:ascii="Inter" w:cs="Inter" w:eastAsia="Inter" w:hAnsi="Inter"/>
          <w:b w:val="false"/>
          <w:bCs w:val="false"/>
          <w:sz w:val="21"/>
          <w:szCs w:val="21"/>
        </w:rPr>
        <w:t xml:space="preserve">•  Hirelessly’s $79–$349/mo subscription pricing is competitively positioned. It undercuts human VA agencies by 70–90% and sits below most managed AI services, while offering significantly broader scope than self-serve AI tools like Lindy ($50/mo) or Relevance AI ($19–$349/mo) that require the client to build their own agents.</w:t>
      </w:r>
    </w:p>
    <w:p>
      <w:pPr>
        <w:spacing w:after="160"/>
      </w:pPr>
      <w:r>
        <w:rPr>
          <w:rFonts w:ascii="Inter" w:cs="Inter" w:eastAsia="Inter" w:hAnsi="Inter"/>
          <w:b w:val="false"/>
          <w:bCs w:val="false"/>
          <w:sz w:val="21"/>
          <w:szCs w:val="21"/>
        </w:rPr>
        <w:t xml:space="preserve">•  Setup fees of $499–$1,999 are at the low end of market rate. Custom AI agent builds from agencies typically run $2,000–10,000+. Hirelessly’s setup fees should be positioned as a value advantage, not increased.</w:t>
      </w:r>
    </w:p>
    <w:p>
      <w:pPr>
        <w:spacing w:after="160"/>
      </w:pPr>
      <w:r>
        <w:rPr>
          <w:rFonts w:ascii="Inter" w:cs="Inter" w:eastAsia="Inter" w:hAnsi="Inter"/>
          <w:b w:val="false"/>
          <w:bCs w:val="false"/>
          <w:sz w:val="21"/>
          <w:szCs w:val="21"/>
        </w:rPr>
        <w:t xml:space="preserve">•  Profit margins are strong. The Assisted tier runs at ~75% gross margin monthly ($79 revenue vs ~$20 cost). Copilot is at ~75% ($199 vs $50). Autopilot is ~86% ($349 vs $50). These exceed typical managed service margins (40–60%) and approach SaaS benchmarks (70–80%).</w:t>
      </w:r>
    </w:p>
    <w:p>
      <w:pPr>
        <w:spacing w:after="160"/>
      </w:pPr>
      <w:r>
        <w:rPr>
          <w:rFonts w:ascii="Inter" w:cs="Inter" w:eastAsia="Inter" w:hAnsi="Inter"/>
          <w:b w:val="false"/>
          <w:bCs w:val="false"/>
          <w:sz w:val="21"/>
          <w:szCs w:val="21"/>
        </w:rPr>
        <w:t xml:space="preserve">•  The actions-per-month model is viable but should be communicated carefully. Competitors like Intercom Fin ($0.99/resolution) and Lindy (credit-based) show that usage-based billing creates bill shock anxiety. Hirelessly’s flat monthly + overage model is a differentiator worth emphasizing.</w:t>
      </w:r>
    </w:p>
    <w:p>
      <w:pPr>
        <w:spacing w:after="160"/>
      </w:pPr>
      <w:r>
        <w:rPr>
          <w:rFonts w:ascii="Inter" w:cs="Inter" w:eastAsia="Inter" w:hAnsi="Inter"/>
          <w:sz w:val="21"/>
          <w:szCs w:val="21"/>
        </w:rPr>
        <w:t xml:space="preserve">•  SMBs are willing to pay $50–$300/mo for AI automation. Research from SMB Group shows a majority of SMBs would pay up to 10% more for AI capabilities in tools they already use. The $79–$349 range hits the sweet spot for businesses spending $600–$1,500/mo on VAs.</w:t>
      </w:r>
    </w:p>
    <w:p>
      <w:r>
        <w:br w:type="page"/>
      </w:r>
    </w:p>
    <w:p>
      <w:pPr>
        <w:pStyle w:val="Heading1"/>
        <w:spacing w:after="200" w:before="360"/>
      </w:pPr>
      <w:r>
        <w:rPr>
          <w:rFonts w:ascii="Arial" w:cs="Arial" w:eastAsia="Arial" w:hAnsi="Arial"/>
          <w:b/>
          <w:bCs/>
          <w:color w:val="EF6F2E"/>
          <w:sz w:val="32"/>
          <w:szCs w:val="32"/>
        </w:rPr>
        <w:t xml:space="preserve">2. Competitive Landscape</w:t>
      </w:r>
    </w:p>
    <w:p>
      <w:pPr>
        <w:pStyle w:val="Heading2"/>
        <w:spacing w:after="160" w:before="280"/>
      </w:pPr>
      <w:r>
        <w:rPr>
          <w:rFonts w:ascii="Arial" w:cs="Arial" w:eastAsia="Arial" w:hAnsi="Arial"/>
          <w:b/>
          <w:bCs/>
          <w:color w:val="1A1410"/>
          <w:sz w:val="26"/>
          <w:szCs w:val="26"/>
        </w:rPr>
        <w:t xml:space="preserve">2.1 AI Agent Platforms (Self-Serve)</w:t>
      </w:r>
    </w:p>
    <w:p>
      <w:pPr>
        <w:spacing w:after="160"/>
      </w:pPr>
      <w:r>
        <w:rPr>
          <w:rFonts w:ascii="Inter" w:cs="Inter" w:eastAsia="Inter" w:hAnsi="Inter"/>
          <w:sz w:val="21"/>
          <w:szCs w:val="21"/>
        </w:rPr>
        <w:t xml:space="preserve">These are platforms where the client builds their own AI agents. Hirelessly’s key advantage is that it’s done-for-you, not DIY.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2720"/>
        <w:gridCol w:w="2600"/>
      </w:tblGrid>
      <w:tr>
        <w:tc>
          <w:tcPr>
            <w:tcW w:type="dxa" w:w="18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Competitor</w:t>
            </w:r>
          </w:p>
        </w:tc>
        <w:tc>
          <w:tcPr>
            <w:tcW w:type="dxa" w:w="14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7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What’s Included</w:t>
            </w:r>
          </w:p>
        </w:tc>
        <w:tc>
          <w:tcPr>
            <w:tcW w:type="dxa" w:w="2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Lindy 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$50–$300/mo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($1,500 white-glove optional)</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No-code AI agent builder; 5,000 credits/mo on Pro; 400 free credits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Self-serve. Client builds own agents. Credit-based, can get expensive fast.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Relevance AI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$19–$349/mo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None</w:t>
            </w:r>
          </w:p>
        </w:tc>
        <w:tc>
          <w:tcPr>
            <w:tcW w:type="dxa" w:w="27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Low-code agent builder; actions + vendor credits; BYO API keys on paid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Self-serve. More technical. Usage-based costs unpredictable at scale.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Manus 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$20–$200/mo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task execution; research, slides, browsing; credit-based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General-purpose AI tool, not business ops focused.</w:t>
            </w:r>
          </w:p>
        </w:tc>
      </w:tr>
    </w:tbl>
    <w:p>
      <w:pPr>
        <w:pStyle w:val="Heading2"/>
        <w:spacing w:after="160" w:before="280"/>
      </w:pPr>
      <w:r>
        <w:rPr>
          <w:rFonts w:ascii="Arial" w:cs="Arial" w:eastAsia="Arial" w:hAnsi="Arial"/>
          <w:b/>
          <w:bCs/>
          <w:color w:val="1A1410"/>
          <w:sz w:val="26"/>
          <w:szCs w:val="26"/>
        </w:rPr>
        <w:t xml:space="preserve">2.2 AI Chatbot / Support Platforms</w:t>
      </w:r>
    </w:p>
    <w:p>
      <w:pPr>
        <w:spacing w:after="160"/>
      </w:pPr>
      <w:r>
        <w:rPr>
          <w:rFonts w:ascii="Inter" w:cs="Inter" w:eastAsia="Inter" w:hAnsi="Inter"/>
          <w:sz w:val="21"/>
          <w:szCs w:val="21"/>
        </w:rPr>
        <w:t xml:space="preserve">These compete only with Hirelessly’s Support Agent and Lead Agent. They don’t cover email, scheduling, CRM, or admin automation.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520"/>
        <w:gridCol w:w="2600"/>
      </w:tblGrid>
      <w:tr>
        <w:tc>
          <w:tcPr>
            <w:tcW w:type="dxa" w:w="18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Competitor</w:t>
            </w:r>
          </w:p>
        </w:tc>
        <w:tc>
          <w:tcPr>
            <w:tcW w:type="dxa" w:w="1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5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What’s Included</w:t>
            </w:r>
          </w:p>
        </w:tc>
        <w:tc>
          <w:tcPr>
            <w:tcW w:type="dxa" w:w="2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Intercom + Fin AI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$29–$132/seat + $0.99/resolution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chat, help desk, ticketing, Fin AI agent resolves support queries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Per-resolution pricing adds up fast. 2,000 resolutions = $1,980/mo extra.</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Tidio + Lyro AI</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$29–$749/mo + $39–$289/mo Lyro add-on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None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Live chat, chatbot flows, Lyro AI agent; $0.50–$0.58/AI conversation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AI is a separate add-on. Real cost often 2x the base 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Freshdesk Freddy AI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$100/1,000 sessions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agent for support tickets within Freshdesk ecosystem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Freshdesk subscription. Support-only.</w:t>
            </w:r>
          </w:p>
        </w:tc>
      </w:tr>
    </w:tbl>
    <w:p>
      <w:pPr>
        <w:pStyle w:val="Heading2"/>
        <w:spacing w:after="160" w:before="280"/>
      </w:pPr>
      <w:r>
        <w:rPr>
          <w:rFonts w:ascii="Arial" w:cs="Arial" w:eastAsia="Arial" w:hAnsi="Arial"/>
          <w:b/>
          <w:bCs/>
          <w:color w:val="1A1410"/>
          <w:sz w:val="26"/>
          <w:szCs w:val="26"/>
        </w:rPr>
        <w:t xml:space="preserve">2.3 All-in-One Marketing / White-Label Platforms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520"/>
        <w:gridCol w:w="2600"/>
      </w:tblGrid>
      <w:tr>
        <w:tc>
          <w:tcPr>
            <w:tcW w:type="dxa" w:w="18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Competitor</w:t>
            </w:r>
          </w:p>
        </w:tc>
        <w:tc>
          <w:tcPr>
            <w:tcW w:type="dxa" w:w="1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5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What’s Included</w:t>
            </w:r>
          </w:p>
        </w:tc>
        <w:tc>
          <w:tcPr>
            <w:tcW w:type="dxa" w:w="2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GoHighLevel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$97–$497/mo + usage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CRM, funnels, SMS, email, AI chatbot, AI voice agent, scheduling, automation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DIY platform. AI Employee add-on $97/mo. Real cost $200–$500+/mo with usage fees. Agencies resell it.</w:t>
            </w:r>
          </w:p>
        </w:tc>
      </w:tr>
    </w:tbl>
    <w:p>
      <w:pPr>
        <w:pStyle w:val="Heading2"/>
        <w:spacing w:after="160" w:before="280"/>
      </w:pPr>
      <w:r>
        <w:rPr>
          <w:rFonts w:ascii="Arial" w:cs="Arial" w:eastAsia="Arial" w:hAnsi="Arial"/>
          <w:b/>
          <w:bCs/>
          <w:color w:val="1A1410"/>
          <w:sz w:val="26"/>
          <w:szCs w:val="26"/>
        </w:rPr>
        <w:t xml:space="preserve">2.4 Traditional VA Agencies (Human)</w:t>
      </w:r>
    </w:p>
    <w:p>
      <w:pPr>
        <w:spacing w:after="160"/>
      </w:pPr>
      <w:r>
        <w:rPr>
          <w:rFonts w:ascii="Inter" w:cs="Inter" w:eastAsia="Inter" w:hAnsi="Inter"/>
          <w:sz w:val="21"/>
          <w:szCs w:val="21"/>
        </w:rPr>
        <w:t xml:space="preserve">These are Hirelessly’s primary displacement target. The cost gap is massive.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520"/>
        <w:gridCol w:w="2600"/>
      </w:tblGrid>
      <w:tr>
        <w:tc>
          <w:tcPr>
            <w:tcW w:type="dxa" w:w="18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Agency</w:t>
            </w:r>
          </w:p>
        </w:tc>
        <w:tc>
          <w:tcPr>
            <w:tcW w:type="dxa" w:w="1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 Cost</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5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What’s Included</w:t>
            </w:r>
          </w:p>
        </w:tc>
        <w:tc>
          <w:tcPr>
            <w:tcW w:type="dxa" w:w="2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BELAY (US-based)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$2,000–$5,500/mo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Included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Dedicated US-based VA; admin, calendar, email, bookkeeping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Premium pricing (~$42–$46/hr billed to client). 60% markup over VA pay.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Wishup (India/US)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$1,299–$2,999/mo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Included</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Pre-vetted VA; 4–8 hrs/day; 200+ skills; AI tool trained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Onboarding in 60 minutes. India-based VAs at competitive rates.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Wing Assistant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$699–$2,999/mo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Deposit required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Dedicated VA; part-time (4hr) or full-time (8hr); workspace app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Full-time general VA at $999/mo. Expert tier costs $2,999+/mo.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Filipino VA (Direct Hire)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$500–$1,500/mo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None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General admin, social media, data entry, customer support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$3–$10/hr. Requires 3–5 hrs/week management. 2–4 week onboarding.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Filipino VA (via Agency)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$800–$2,400/mo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Managed Filipino VA; vetting, HR support, replacement guarantees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Agency adds 30–60% markup. Mid-level specialist ~$1,100–$1,500/mo.</w:t>
            </w:r>
          </w:p>
        </w:tc>
      </w:tr>
    </w:tbl>
    <w:p>
      <w:pPr>
        <w:pStyle w:val="Heading2"/>
        <w:spacing w:after="160" w:before="280"/>
      </w:pPr>
      <w:r>
        <w:rPr>
          <w:rFonts w:ascii="Arial" w:cs="Arial" w:eastAsia="Arial" w:hAnsi="Arial"/>
          <w:b/>
          <w:bCs/>
          <w:color w:val="1A1410"/>
          <w:sz w:val="26"/>
          <w:szCs w:val="26"/>
        </w:rPr>
        <w:t xml:space="preserve">2.5 Hirelessly vs Market Summary</w:t>
      </w:r>
    </w:p>
    <w:p>
      <w:pPr>
        <w:spacing w:after="160"/>
      </w:pPr>
      <w:r>
        <w:rPr>
          <w:rFonts w:ascii="Inter" w:cs="Inter" w:eastAsia="Inter" w:hAnsi="Inter"/>
          <w:sz w:val="21"/>
          <w:szCs w:val="21"/>
        </w:rPr>
        <w:t xml:space="preserve">Hirelessly at $79–$349/mo is 70–95% cheaper than any human VA option. It’s competitively priced against self-serve AI tools while offering a done-for-you service that requires zero client setup time. The only competitors at a similar price point require the client to build and manage their own AI agents.</w:t>
      </w:r>
    </w:p>
    <w:p>
      <w:r>
        <w:br w:type="page"/>
      </w:r>
    </w:p>
    <w:p>
      <w:pPr>
        <w:pStyle w:val="Heading1"/>
        <w:spacing w:after="200" w:before="360"/>
      </w:pPr>
      <w:r>
        <w:rPr>
          <w:rFonts w:ascii="Arial" w:cs="Arial" w:eastAsia="Arial" w:hAnsi="Arial"/>
          <w:b/>
          <w:bCs/>
          <w:color w:val="EF6F2E"/>
          <w:sz w:val="32"/>
          <w:szCs w:val="32"/>
        </w:rPr>
        <w:t xml:space="preserve">3. Willingness to Pay by Market</w:t>
      </w:r>
    </w:p>
    <w:p>
      <w:pPr>
        <w:spacing w:after="160"/>
      </w:pPr>
      <w:r>
        <w:rPr>
          <w:rFonts w:ascii="Inter" w:cs="Inter" w:eastAsia="Inter" w:hAnsi="Inter"/>
          <w:sz w:val="21"/>
          <w:szCs w:val="21"/>
        </w:rPr>
        <w:t xml:space="preserve">Based on market research, VA salary benchmarks, and AI adoption surveys across target markets: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2200"/>
        <w:gridCol w:w="2200"/>
        <w:gridCol w:w="1900"/>
        <w:gridCol w:w="1800"/>
      </w:tblGrid>
      <w:tr>
        <w:tc>
          <w:tcPr>
            <w:tcW w:type="dxa" w:w="16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2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Human VA Cost</w:t>
            </w:r>
          </w:p>
        </w:tc>
        <w:tc>
          <w:tcPr>
            <w:tcW w:type="dxa" w:w="2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AI Tool Spend</w:t>
            </w:r>
          </w:p>
        </w:tc>
        <w:tc>
          <w:tcPr>
            <w:tcW w:type="dxa" w:w="19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WTP for Managed AI</w:t>
            </w:r>
          </w:p>
        </w:tc>
        <w:tc>
          <w:tcPr>
            <w:tcW w:type="dxa" w:w="18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United States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$1,200–$5,500/mo (US VA) or $500–$1,500/mo (Filipino VA)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$20–$300/mo per tool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$100–$500/mo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Largest market. Highest WTP. Cost savings message resonates.</w:t>
            </w:r>
          </w:p>
        </w:tc>
      </w:tr>
      <w:tr>
        <w:tc>
          <w:tcPr>
            <w:tcW w:type="dxa" w:w="1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 United Kingdom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£800–£2,500/mo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£20–£250/mo</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$75–$400/mo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Strong AI adoption. GDPR considerations important.</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Germany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€1,500–€3,500/mo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€30–€300/mo</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$100–$400/mo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Conservative buyers. Data privacy is paramount. Slower adoption.</w:t>
            </w:r>
          </w:p>
        </w:tc>
      </w:tr>
      <w:tr>
        <w:tc>
          <w:tcPr>
            <w:tcW w:type="dxa" w:w="1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 Netherlands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€1,200–€3,000/mo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€25–€250/mo</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$75–$350/mo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Tech-forward SMB market. English-friendly. Good early target.</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France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€1,500–€3,500/mo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€25–€250/mo</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$75–$350/mo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Language barrier for AI tools. Localization needed.</w:t>
            </w:r>
          </w:p>
        </w:tc>
      </w:tr>
      <w:tr>
        <w:tc>
          <w:tcPr>
            <w:tcW w:type="dxa" w:w="16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 Australia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A$1,500–A$4,000/mo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A$30–A$350/mo</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$100–$450/mo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High VA costs. Strong English fluency. Filipino VA market overlap.</w:t>
            </w:r>
          </w:p>
        </w:tc>
      </w:tr>
    </w:tbl>
    <w:p>
      <w:pPr>
        <w:spacing w:after="160"/>
      </w:pPr>
      <w:r>
        <w:rPr>
          <w:rFonts w:ascii="Inter" w:cs="Inter" w:eastAsia="Inter" w:hAnsi="Inter"/>
          <w:sz w:val="21"/>
          <w:szCs w:val="21"/>
        </w:rPr>
        <w:t xml:space="preserve">Key insight: SMB Group research shows a majority of SMBs would pay up to 10% more for AI capabilities embedded in tools they use. Thryv’s survey found AI saves SMBs $500–$2,000/month and 20+ hours/month. Hirelessly’s pricing sits comfortably within the WTP range for all target markets.</w:t>
      </w:r>
    </w:p>
    <w:p>
      <w:r>
        <w:br w:type="page"/>
      </w:r>
    </w:p>
    <w:p>
      <w:pPr>
        <w:pStyle w:val="Heading1"/>
        <w:spacing w:after="200" w:before="360"/>
      </w:pPr>
      <w:r>
        <w:rPr>
          <w:rFonts w:ascii="Arial" w:cs="Arial" w:eastAsia="Arial" w:hAnsi="Arial"/>
          <w:b/>
          <w:bCs/>
          <w:color w:val="EF6F2E"/>
          <w:sz w:val="32"/>
          <w:szCs w:val="32"/>
        </w:rPr>
        <w:t xml:space="preserve">4. Pricing Model Recommendation</w:t>
      </w:r>
    </w:p>
    <w:p>
      <w:pPr>
        <w:pStyle w:val="Heading2"/>
        <w:spacing w:after="160" w:before="280"/>
      </w:pPr>
      <w:r>
        <w:rPr>
          <w:rFonts w:ascii="Arial" w:cs="Arial" w:eastAsia="Arial" w:hAnsi="Arial"/>
          <w:b/>
          <w:bCs/>
          <w:color w:val="1A1410"/>
          <w:sz w:val="26"/>
          <w:szCs w:val="26"/>
        </w:rPr>
        <w:t xml:space="preserve">4.1 Market Comparison of Models</w:t>
      </w:r>
    </w:p>
    <w:p>
      <w:pPr>
        <w:spacing w:after="160"/>
      </w:pPr>
      <w:r>
        <w:rPr>
          <w:rFonts w:ascii="Inter" w:cs="Inter" w:eastAsia="Inter" w:hAnsi="Inter"/>
          <w:sz w:val="21"/>
          <w:szCs w:val="21"/>
        </w:rPr>
        <w:t xml:space="preserve">Flat monthly subscription: Used by GoHighLevel ($97–$497), Wing ($699–$2,999), Wishup ($1,299–$2,999). Predictable. Preferred by SMBs.</w:t>
      </w:r>
    </w:p>
    <w:p>
      <w:pPr>
        <w:spacing w:after="160"/>
      </w:pPr>
      <w:r>
        <w:rPr>
          <w:rFonts w:ascii="Inter" w:cs="Inter" w:eastAsia="Inter" w:hAnsi="Inter"/>
          <w:sz w:val="21"/>
          <w:szCs w:val="21"/>
        </w:rPr>
        <w:t xml:space="preserve">Usage/credit-based: Used by Lindy (credits), Relevance AI (actions + vendor credits), Intercom Fin ($0.99/resolution). Flexible but creates bill shock and unpredictability.</w:t>
      </w:r>
    </w:p>
    <w:p>
      <w:pPr>
        <w:spacing w:after="160"/>
      </w:pPr>
      <w:r>
        <w:rPr>
          <w:rFonts w:ascii="Inter" w:cs="Inter" w:eastAsia="Inter" w:hAnsi="Inter"/>
          <w:sz w:val="21"/>
          <w:szCs w:val="21"/>
        </w:rPr>
        <w:t xml:space="preserve">Hybrid (flat + overage): Used by Hirelessly. Combines predictability with scalability. This is the optimal model.</w:t>
      </w:r>
    </w:p>
    <w:p>
      <w:pPr>
        <w:pStyle w:val="Heading2"/>
        <w:spacing w:after="160" w:before="280"/>
      </w:pPr>
      <w:r>
        <w:rPr>
          <w:rFonts w:ascii="Arial" w:cs="Arial" w:eastAsia="Arial" w:hAnsi="Arial"/>
          <w:b/>
          <w:bCs/>
          <w:color w:val="1A1410"/>
          <w:sz w:val="26"/>
          <w:szCs w:val="26"/>
        </w:rPr>
        <w:t xml:space="preserve">4.2 Recommendation</w:t>
      </w:r>
    </w:p>
    <w:p>
      <w:pPr>
        <w:spacing w:after="160"/>
      </w:pPr>
      <w:r>
        <w:rPr>
          <w:rFonts w:ascii="Inter" w:cs="Inter" w:eastAsia="Inter" w:hAnsi="Inter"/>
          <w:b/>
          <w:bCs/>
          <w:sz w:val="21"/>
          <w:szCs w:val="21"/>
        </w:rPr>
        <w:t xml:space="preserve">Hirelessly’s current hybrid model (flat monthly + actions/month + overage) is the RIGHT model. Here’s why:</w:t>
      </w:r>
    </w:p>
    <w:p>
      <w:pPr>
        <w:spacing w:after="160"/>
      </w:pPr>
      <w:r>
        <w:rPr>
          <w:rFonts w:ascii="Inter" w:cs="Inter" w:eastAsia="Inter" w:hAnsi="Inter"/>
          <w:sz w:val="21"/>
          <w:szCs w:val="21"/>
        </w:rPr>
        <w:t xml:space="preserve">1. SMBs overwhelmingly prefer predictable costs. Multiple surveys confirm SMBs rank cost predictability as a top-3 factor in purchasing decisions for automation tools.</w:t>
      </w:r>
    </w:p>
    <w:p>
      <w:pPr>
        <w:spacing w:after="160"/>
      </w:pPr>
      <w:r>
        <w:rPr>
          <w:rFonts w:ascii="Inter" w:cs="Inter" w:eastAsia="Inter" w:hAnsi="Inter"/>
          <w:sz w:val="21"/>
          <w:szCs w:val="21"/>
        </w:rPr>
        <w:t xml:space="preserve">2. The actions-per-month metric is intuitive. Unlike Lindy’s opaque credit system where a single task can consume 1–275 credits, Hirelessly’s “actions” are straightforward.</w:t>
      </w:r>
    </w:p>
    <w:p>
      <w:pPr>
        <w:spacing w:after="160"/>
      </w:pPr>
      <w:r>
        <w:rPr>
          <w:rFonts w:ascii="Inter" w:cs="Inter" w:eastAsia="Inter" w:hAnsi="Inter"/>
          <w:sz w:val="21"/>
          <w:szCs w:val="21"/>
        </w:rPr>
        <w:t xml:space="preserve">3. Overage pricing provides a natural upsell path. When clients hit their action limit, they either pay a small overage or upgrade to the next tier. This is standard SaaS land-and-expand.</w:t>
      </w:r>
    </w:p>
    <w:p>
      <w:pPr>
        <w:spacing w:after="160"/>
      </w:pPr>
      <w:r>
        <w:rPr>
          <w:rFonts w:ascii="Inter" w:cs="Inter" w:eastAsia="Inter" w:hAnsi="Inter"/>
          <w:sz w:val="21"/>
          <w:szCs w:val="21"/>
        </w:rPr>
        <w:t xml:space="preserve">4. The one-time Starter tier is a smart entry point. It lowers the barrier to trial and creates a pipeline to subscription tiers.</w:t>
      </w:r>
    </w:p>
    <w:p>
      <w:pPr>
        <w:spacing w:after="160"/>
      </w:pPr>
      <w:r>
        <w:rPr>
          <w:rFonts w:ascii="Inter" w:cs="Inter" w:eastAsia="Inter" w:hAnsi="Inter"/>
          <w:sz w:val="21"/>
          <w:szCs w:val="21"/>
        </w:rPr>
        <w:t xml:space="preserve">Suggestion: Consider renaming “actions” to something more tangible like “tasks completed” or “automations run” for clarity on the pricing page.</w:t>
      </w:r>
    </w:p>
    <w:p>
      <w:r>
        <w:br w:type="page"/>
      </w:r>
    </w:p>
    <w:p>
      <w:pPr>
        <w:pStyle w:val="Heading1"/>
        <w:spacing w:after="200" w:before="360"/>
      </w:pPr>
      <w:r>
        <w:rPr>
          <w:rFonts w:ascii="Arial" w:cs="Arial" w:eastAsia="Arial" w:hAnsi="Arial"/>
          <w:b/>
          <w:bCs/>
          <w:color w:val="EF6F2E"/>
          <w:sz w:val="32"/>
          <w:szCs w:val="32"/>
        </w:rPr>
        <w:t xml:space="preserve">5. Setup Fee Analysis</w:t>
      </w:r>
    </w:p>
    <w:p>
      <w:pPr>
        <w:pStyle w:val="Heading2"/>
        <w:spacing w:after="160" w:before="280"/>
      </w:pPr>
      <w:r>
        <w:rPr>
          <w:rFonts w:ascii="Arial" w:cs="Arial" w:eastAsia="Arial" w:hAnsi="Arial"/>
          <w:b/>
          <w:bCs/>
          <w:color w:val="1A1410"/>
          <w:sz w:val="26"/>
          <w:szCs w:val="26"/>
        </w:rPr>
        <w:t xml:space="preserve">5.1 Market Benchmarks</w:t>
      </w:r>
    </w:p>
    <w:p>
      <w:pPr>
        <w:spacing w:after="160"/>
      </w:pPr>
      <w:r>
        <w:rPr>
          <w:rFonts w:ascii="Inter" w:cs="Inter" w:eastAsia="Inter" w:hAnsi="Inter"/>
          <w:sz w:val="21"/>
          <w:szCs w:val="21"/>
        </w:rPr>
        <w:t xml:space="preserve">Lindy AI white-glove onboarding: ~$1,500 one-time</w:t>
      </w:r>
    </w:p>
    <w:p>
      <w:pPr>
        <w:spacing w:after="160"/>
      </w:pPr>
      <w:r>
        <w:rPr>
          <w:rFonts w:ascii="Inter" w:cs="Inter" w:eastAsia="Inter" w:hAnsi="Inter"/>
          <w:sz w:val="21"/>
          <w:szCs w:val="21"/>
        </w:rPr>
        <w:t xml:space="preserve">GoHighLevel setup: $0 (DIY platform)</w:t>
      </w:r>
    </w:p>
    <w:p>
      <w:pPr>
        <w:spacing w:after="160"/>
      </w:pPr>
      <w:r>
        <w:rPr>
          <w:rFonts w:ascii="Inter" w:cs="Inter" w:eastAsia="Inter" w:hAnsi="Inter"/>
          <w:sz w:val="21"/>
          <w:szCs w:val="21"/>
        </w:rPr>
        <w:t xml:space="preserve">Custom AI agent builds from agencies: $2,000–$15,000+</w:t>
      </w:r>
    </w:p>
    <w:p>
      <w:pPr>
        <w:spacing w:after="160"/>
      </w:pPr>
      <w:r>
        <w:rPr>
          <w:rFonts w:ascii="Inter" w:cs="Inter" w:eastAsia="Inter" w:hAnsi="Inter"/>
          <w:sz w:val="21"/>
          <w:szCs w:val="21"/>
        </w:rPr>
        <w:t xml:space="preserve">Workflow automation agency builds (Make/n8n): $1,500–$5,000 per workflow</w:t>
      </w:r>
    </w:p>
    <w:p>
      <w:pPr>
        <w:spacing w:after="160"/>
      </w:pPr>
      <w:r>
        <w:rPr>
          <w:rFonts w:ascii="Inter" w:cs="Inter" w:eastAsia="Inter" w:hAnsi="Inter"/>
          <w:sz w:val="21"/>
          <w:szCs w:val="21"/>
        </w:rPr>
        <w:t xml:space="preserve">Managed VA agency onboarding: Usually included in monthly fee</w:t>
      </w:r>
    </w:p>
    <w:p>
      <w:pPr>
        <w:pStyle w:val="Heading2"/>
        <w:spacing w:after="160" w:before="280"/>
      </w:pPr>
      <w:r>
        <w:rPr>
          <w:rFonts w:ascii="Arial" w:cs="Arial" w:eastAsia="Arial" w:hAnsi="Arial"/>
          <w:b/>
          <w:bCs/>
          <w:color w:val="1A1410"/>
          <w:sz w:val="26"/>
          <w:szCs w:val="26"/>
        </w:rPr>
        <w:t xml:space="preserve">5.2 Hirelessly’s Setup Fees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360"/>
        <w:gridCol w:w="2360"/>
      </w:tblGrid>
      <w:tr>
        <w:tc>
          <w:tcPr>
            <w:tcW w:type="dxa" w:w="20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Setup Fee</w:t>
            </w:r>
          </w:p>
        </w:tc>
        <w:tc>
          <w:tcPr>
            <w:tcW w:type="dxa" w:w="15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Dev Cost</w:t>
            </w:r>
          </w:p>
        </w:tc>
        <w:tc>
          <w:tcPr>
            <w:tcW w:type="dxa" w:w="236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Margin</w:t>
            </w:r>
          </w:p>
        </w:tc>
        <w:tc>
          <w:tcPr>
            <w:tcW w:type="dxa" w:w="236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Starter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$199 profit (67%)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Fair. Low barrier to entry.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Assisted (L1)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$499</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$399 profit (80%)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Underpriced vs market. Could be $699–$799.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Copilot (L2)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$899 profit (90%)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rate. Competitive.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Autopilot (L3)</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$1,999</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$1,899 profit (95%)</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Below market for scope. Could be $2,499–$2,999.</w:t>
            </w:r>
          </w:p>
        </w:tc>
      </w:tr>
    </w:tbl>
    <w:p>
      <w:pPr>
        <w:pStyle w:val="Heading2"/>
        <w:spacing w:after="160" w:before="280"/>
      </w:pPr>
      <w:r>
        <w:rPr>
          <w:rFonts w:ascii="Arial" w:cs="Arial" w:eastAsia="Arial" w:hAnsi="Arial"/>
          <w:b/>
          <w:bCs/>
          <w:color w:val="1A1410"/>
          <w:sz w:val="26"/>
          <w:szCs w:val="26"/>
        </w:rPr>
        <w:t xml:space="preserve">5.3 Verdict</w:t>
      </w:r>
    </w:p>
    <w:p>
      <w:pPr>
        <w:spacing w:after="160"/>
      </w:pPr>
      <w:r>
        <w:rPr>
          <w:rFonts w:ascii="Inter" w:cs="Inter" w:eastAsia="Inter" w:hAnsi="Inter"/>
          <w:sz w:val="21"/>
          <w:szCs w:val="21"/>
        </w:rPr>
        <w:t xml:space="preserve">Setup fees are at or below market rate. Do not increase them now. The current pricing creates a low-friction entry point which is more valuable for customer acquisition than maximizing setup fee revenue. As Hirelessly builds case studies and social proof, setup fees can be raised 20–30% in 6–12 months.</w:t>
      </w:r>
    </w:p>
    <w:p>
      <w:r>
        <w:br w:type="page"/>
      </w:r>
    </w:p>
    <w:p>
      <w:pPr>
        <w:pStyle w:val="Heading1"/>
        <w:spacing w:after="200" w:before="360"/>
      </w:pPr>
      <w:r>
        <w:rPr>
          <w:rFonts w:ascii="Arial" w:cs="Arial" w:eastAsia="Arial" w:hAnsi="Arial"/>
          <w:b/>
          <w:bCs/>
          <w:color w:val="EF6F2E"/>
          <w:sz w:val="32"/>
          <w:szCs w:val="32"/>
        </w:rPr>
        <w:t xml:space="preserve">6. Margin &amp; Profitability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200"/>
        <w:gridCol w:w="1600"/>
        <w:gridCol w:w="1520"/>
      </w:tblGrid>
      <w:tr>
        <w:tc>
          <w:tcPr>
            <w:tcW w:type="dxa" w:w="1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 Revenue</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 Cost</w:t>
            </w:r>
          </w:p>
        </w:tc>
        <w:tc>
          <w:tcPr>
            <w:tcW w:type="dxa" w:w="14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Monthly Margin</w:t>
            </w:r>
          </w:p>
        </w:tc>
        <w:tc>
          <w:tcPr>
            <w:tcW w:type="dxa" w:w="1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Margin %</w:t>
            </w:r>
          </w:p>
        </w:tc>
        <w:tc>
          <w:tcPr>
            <w:tcW w:type="dxa" w:w="16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Industry Benchmark</w:t>
            </w:r>
          </w:p>
        </w:tc>
        <w:tc>
          <w:tcPr>
            <w:tcW w:type="dxa" w:w="15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Starter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 product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D6A6A"/>
                <w:sz w:val="18"/>
                <w:szCs w:val="18"/>
              </w:rPr>
              <w:t xml:space="preserve">OK — loss leader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Assisted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$79/mo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$20/mo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$59/mo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SaaS: 70–80%</w:t>
            </w:r>
          </w:p>
        </w:tc>
        <w:tc>
          <w:tcPr>
            <w:tcW w:type="dxa" w:w="1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8800"/>
                <w:sz w:val="18"/>
                <w:szCs w:val="18"/>
              </w:rPr>
              <w:t xml:space="preserve">✅ Healthy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Copilot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$199/mo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$149/mo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SaaS: 70–80%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8800"/>
                <w:sz w:val="18"/>
                <w:szCs w:val="18"/>
              </w:rPr>
              <w:t xml:space="preserve">✅ Healthy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Autopilot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$349/mo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$50/mo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$299/mo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86%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SaaS: 70–80%</w:t>
            </w:r>
          </w:p>
        </w:tc>
        <w:tc>
          <w:tcPr>
            <w:tcW w:type="dxa" w:w="1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6600"/>
                <w:sz w:val="18"/>
                <w:szCs w:val="18"/>
              </w:rPr>
              <w:t xml:space="preserve">✅ Excellent</w:t>
            </w:r>
          </w:p>
        </w:tc>
      </w:tr>
    </w:tbl>
    <w:p>
      <w:pPr>
        <w:spacing w:after="160"/>
      </w:pPr>
      <w:r>
        <w:rPr>
          <w:rFonts w:ascii="Inter" w:cs="Inter" w:eastAsia="Inter" w:hAnsi="Inter"/>
          <w:sz w:val="21"/>
          <w:szCs w:val="21"/>
        </w:rPr>
        <w:t xml:space="preserve"/>
      </w:r>
    </w:p>
    <w:p>
      <w:pPr>
        <w:spacing w:after="160"/>
      </w:pPr>
      <w:r>
        <w:rPr>
          <w:rFonts w:ascii="Inter" w:cs="Inter" w:eastAsia="Inter" w:hAnsi="Inter"/>
          <w:sz w:val="21"/>
          <w:szCs w:val="21"/>
        </w:rPr>
        <w:t xml:space="preserve">All subscription tiers exceed industry benchmarks for both SaaS (70–80%) and managed services (40–60%). The Starter tier operates at a loss on monthly costs ($20/mo server) but this is offset by the $299 setup fee — effectively 15 months of runway before breakeven. This is acceptable as a lead-in product.</w:t>
      </w:r>
    </w:p>
    <w:p>
      <w:pPr>
        <w:spacing w:after="160"/>
      </w:pPr>
      <w:r>
        <w:rPr>
          <w:rFonts w:ascii="Inter" w:cs="Inter" w:eastAsia="Inter" w:hAnsi="Inter"/>
          <w:sz w:val="21"/>
          <w:szCs w:val="21"/>
        </w:rPr>
        <w:t xml:space="preserve">No tier is at risk. The cost structure is lean because Hirelessly runs on shared VPS infrastructure with AI API costs likely included in the $20–50/mo estimate. If AI API costs scale with usage beyond these estimates, the Assisted tier at $79/mo has the thinnest absolute margin ($59/mo) and should be monitored.</w:t>
      </w:r>
    </w:p>
    <w:p>
      <w:pPr>
        <w:spacing w:after="160"/>
      </w:pPr>
      <w:r>
        <w:rPr>
          <w:rFonts w:ascii="Inter" w:cs="Inter" w:eastAsia="Inter" w:hAnsi="Inter"/>
          <w:sz w:val="21"/>
          <w:szCs w:val="21"/>
        </w:rPr>
        <w:t xml:space="preserve">Key risk: If AI API costs (OpenAI, Anthropic, etc.) increase significantly, the Assisted tier is most vulnerable. Consider building usage-based API cost passthrough into future pricing if margins compress.</w:t>
      </w:r>
    </w:p>
    <w:p>
      <w:r>
        <w:br w:type="page"/>
      </w:r>
    </w:p>
    <w:p>
      <w:pPr>
        <w:pStyle w:val="Heading1"/>
        <w:spacing w:after="200" w:before="360"/>
      </w:pPr>
      <w:r>
        <w:rPr>
          <w:rFonts w:ascii="Arial" w:cs="Arial" w:eastAsia="Arial" w:hAnsi="Arial"/>
          <w:b/>
          <w:bCs/>
          <w:color w:val="EF6F2E"/>
          <w:sz w:val="32"/>
          <w:szCs w:val="32"/>
        </w:rPr>
        <w:t xml:space="preserve">7. Pricing Page Conversion Best Practices</w:t>
      </w:r>
    </w:p>
    <w:p>
      <w:pPr>
        <w:pStyle w:val="Heading2"/>
        <w:spacing w:after="160" w:before="280"/>
      </w:pPr>
      <w:r>
        <w:rPr>
          <w:rFonts w:ascii="Arial" w:cs="Arial" w:eastAsia="Arial" w:hAnsi="Arial"/>
          <w:b/>
          <w:bCs/>
          <w:color w:val="1A1410"/>
          <w:sz w:val="26"/>
          <w:szCs w:val="26"/>
        </w:rPr>
        <w:t xml:space="preserve">7.1 Tier Structure</w:t>
      </w:r>
    </w:p>
    <w:p>
      <w:pPr>
        <w:spacing w:after="160"/>
      </w:pPr>
      <w:r>
        <w:rPr>
          <w:rFonts w:ascii="Inter" w:cs="Inter" w:eastAsia="Inter" w:hAnsi="Inter"/>
          <w:sz w:val="21"/>
          <w:szCs w:val="21"/>
        </w:rPr>
        <w:t xml:space="preserve">Three tiers is optimal. Research shows that pricing pages with 4+ tiers convert 31% worse than three-tier pages. Hirelessly’s current structure (Assisted / Copilot / Autopilot) is correct. The Starter one-time tier should be shown separately or as a “Not sure yet?” entry point below the main tiers.</w:t>
      </w:r>
    </w:p>
    <w:p>
      <w:pPr>
        <w:pStyle w:val="Heading2"/>
        <w:spacing w:after="160" w:before="280"/>
      </w:pPr>
      <w:r>
        <w:rPr>
          <w:rFonts w:ascii="Arial" w:cs="Arial" w:eastAsia="Arial" w:hAnsi="Arial"/>
          <w:b/>
          <w:bCs/>
          <w:color w:val="1A1410"/>
          <w:sz w:val="26"/>
          <w:szCs w:val="26"/>
        </w:rPr>
        <w:t xml:space="preserve">7.2 Recommended Plan Badge</w:t>
      </w:r>
    </w:p>
    <w:p>
      <w:pPr>
        <w:spacing w:after="160"/>
      </w:pPr>
      <w:r>
        <w:rPr>
          <w:rFonts w:ascii="Inter" w:cs="Inter" w:eastAsia="Inter" w:hAnsi="Inter"/>
          <w:sz w:val="21"/>
          <w:szCs w:val="21"/>
        </w:rPr>
        <w:t xml:space="preserve">Place the “Most Popular” or “Best Value” badge on the Copilot tier ($199/mo). CXL Institute research confirms this technique reduces decision time and increases conversions. The middle tier should visually stand out — use a larger card, different background, or border highlight.</w:t>
      </w:r>
    </w:p>
    <w:p>
      <w:pPr>
        <w:pStyle w:val="Heading2"/>
        <w:spacing w:after="160" w:before="280"/>
      </w:pPr>
      <w:r>
        <w:rPr>
          <w:rFonts w:ascii="Arial" w:cs="Arial" w:eastAsia="Arial" w:hAnsi="Arial"/>
          <w:b/>
          <w:bCs/>
          <w:color w:val="1A1410"/>
          <w:sz w:val="26"/>
          <w:szCs w:val="26"/>
        </w:rPr>
        <w:t xml:space="preserve">7.3 Monthly/Yearly Toggle</w:t>
      </w:r>
    </w:p>
    <w:p>
      <w:pPr>
        <w:spacing w:after="160"/>
      </w:pPr>
      <w:r>
        <w:rPr>
          <w:rFonts w:ascii="Inter" w:cs="Inter" w:eastAsia="Inter" w:hAnsi="Inter"/>
          <w:sz w:val="21"/>
          <w:szCs w:val="21"/>
        </w:rPr>
        <w:t xml:space="preserve">Yes, include it. Defaulting to annual pricing with a “Save 10%” badge increases ACV by 30–40% on average. One case study showed switching the default from monthly to annual pricing increased ACV by 40% and reduced churn from 18% to 11%. Hirelessly already offers 10% annual discount — display this prominently.</w:t>
      </w:r>
    </w:p>
    <w:p>
      <w:pPr>
        <w:pStyle w:val="Heading2"/>
        <w:spacing w:after="160" w:before="280"/>
      </w:pPr>
      <w:r>
        <w:rPr>
          <w:rFonts w:ascii="Arial" w:cs="Arial" w:eastAsia="Arial" w:hAnsi="Arial"/>
          <w:b/>
          <w:bCs/>
          <w:color w:val="1A1410"/>
          <w:sz w:val="26"/>
          <w:szCs w:val="26"/>
        </w:rPr>
        <w:t xml:space="preserve">7.4 One-Time Option</w:t>
      </w:r>
    </w:p>
    <w:p>
      <w:pPr>
        <w:spacing w:after="160"/>
      </w:pPr>
      <w:r>
        <w:rPr>
          <w:rFonts w:ascii="Inter" w:cs="Inter" w:eastAsia="Inter" w:hAnsi="Inter"/>
          <w:sz w:val="21"/>
          <w:szCs w:val="21"/>
        </w:rPr>
        <w:t xml:space="preserve">Keep the Starter ($299 one-time) visible but separate from subscription tiers. It serves as a low-risk entry point and converts trial users into subscribers. Position it as “Try before you commit” with a clear upgrade path.</w:t>
      </w:r>
    </w:p>
    <w:p>
      <w:pPr>
        <w:pStyle w:val="Heading2"/>
        <w:spacing w:after="160" w:before="280"/>
      </w:pPr>
      <w:r>
        <w:rPr>
          <w:rFonts w:ascii="Arial" w:cs="Arial" w:eastAsia="Arial" w:hAnsi="Arial"/>
          <w:b/>
          <w:bCs/>
          <w:color w:val="1A1410"/>
          <w:sz w:val="26"/>
          <w:szCs w:val="26"/>
        </w:rPr>
        <w:t xml:space="preserve">7.5 CTA Language</w:t>
      </w:r>
    </w:p>
    <w:p>
      <w:pPr>
        <w:spacing w:after="160"/>
      </w:pPr>
      <w:r>
        <w:rPr>
          <w:rFonts w:ascii="Inter" w:cs="Inter" w:eastAsia="Inter" w:hAnsi="Inter"/>
          <w:sz w:val="21"/>
          <w:szCs w:val="21"/>
        </w:rPr>
        <w:t xml:space="preserve">Assisted: “Get Started” (low commitment)</w:t>
      </w:r>
    </w:p>
    <w:p>
      <w:pPr>
        <w:spacing w:after="160"/>
      </w:pPr>
      <w:r>
        <w:rPr>
          <w:rFonts w:ascii="Inter" w:cs="Inter" w:eastAsia="Inter" w:hAnsi="Inter"/>
          <w:sz w:val="21"/>
          <w:szCs w:val="21"/>
        </w:rPr>
        <w:t xml:space="preserve">Copilot: “Start Free Setup” or “Launch My Assistant” (action-oriented)</w:t>
      </w:r>
    </w:p>
    <w:p>
      <w:pPr>
        <w:spacing w:after="160"/>
      </w:pPr>
      <w:r>
        <w:rPr>
          <w:rFonts w:ascii="Inter" w:cs="Inter" w:eastAsia="Inter" w:hAnsi="Inter"/>
          <w:sz w:val="21"/>
          <w:szCs w:val="21"/>
        </w:rPr>
        <w:t xml:space="preserve">Autopilot: “Talk to Us” or “Book a Call” (high-touch for premium tier)</w:t>
      </w:r>
    </w:p>
    <w:p>
      <w:pPr>
        <w:spacing w:after="160"/>
      </w:pPr>
      <w:r>
        <w:rPr>
          <w:rFonts w:ascii="Inter" w:cs="Inter" w:eastAsia="Inter" w:hAnsi="Inter"/>
          <w:sz w:val="21"/>
          <w:szCs w:val="21"/>
        </w:rPr>
        <w:t xml:space="preserve">Avoid “Buy Now” — it underperforms “Get Started” and “Start Free Trial” by 15–25% in SaaS contexts.</w:t>
      </w:r>
    </w:p>
    <w:p>
      <w:pPr>
        <w:pStyle w:val="Heading2"/>
        <w:spacing w:after="160" w:before="280"/>
      </w:pPr>
      <w:r>
        <w:rPr>
          <w:rFonts w:ascii="Arial" w:cs="Arial" w:eastAsia="Arial" w:hAnsi="Arial"/>
          <w:b/>
          <w:bCs/>
          <w:color w:val="1A1410"/>
          <w:sz w:val="26"/>
          <w:szCs w:val="26"/>
        </w:rPr>
        <w:t xml:space="preserve">7.6 Social Proof</w:t>
      </w:r>
    </w:p>
    <w:p>
      <w:pPr>
        <w:spacing w:after="160"/>
      </w:pPr>
      <w:r>
        <w:rPr>
          <w:rFonts w:ascii="Inter" w:cs="Inter" w:eastAsia="Inter" w:hAnsi="Inter"/>
          <w:sz w:val="21"/>
          <w:szCs w:val="21"/>
        </w:rPr>
        <w:t xml:space="preserve">Add within or directly below the pricing cards: number of businesses served, specific results (“60% cost reduction”, “Live in 5 days”), and customer logos once available. G2 reviews and real testimonials outperform generic endorsements. A pricing calculator (already built) is a strong conversion tool — keep it.</w:t>
      </w:r>
    </w:p>
    <w:p>
      <w:pPr>
        <w:pStyle w:val="Heading2"/>
        <w:spacing w:after="160" w:before="280"/>
      </w:pPr>
      <w:r>
        <w:rPr>
          <w:rFonts w:ascii="Arial" w:cs="Arial" w:eastAsia="Arial" w:hAnsi="Arial"/>
          <w:b/>
          <w:bCs/>
          <w:color w:val="1A1410"/>
          <w:sz w:val="26"/>
          <w:szCs w:val="26"/>
        </w:rPr>
        <w:t xml:space="preserve">7.7 Conversion Checklist</w:t>
      </w:r>
    </w:p>
    <w:p>
      <w:pPr>
        <w:spacing w:after="160"/>
      </w:pPr>
      <w:r>
        <w:rPr>
          <w:rFonts w:ascii="Inter" w:cs="Inter" w:eastAsia="Inter" w:hAnsi="Inter"/>
          <w:sz w:val="21"/>
          <w:szCs w:val="21"/>
        </w:rPr>
        <w:t xml:space="preserve">• Show transparent pricing (never hide behind “Contact Sales” for plans under $500/mo)</w:t>
      </w:r>
    </w:p>
    <w:p>
      <w:pPr>
        <w:spacing w:after="160"/>
      </w:pPr>
      <w:r>
        <w:rPr>
          <w:rFonts w:ascii="Inter" w:cs="Inter" w:eastAsia="Inter" w:hAnsi="Inter"/>
          <w:sz w:val="21"/>
          <w:szCs w:val="21"/>
        </w:rPr>
        <w:t xml:space="preserve">• 3 subscription tiers + 1 entry-level option</w:t>
      </w:r>
    </w:p>
    <w:p>
      <w:pPr>
        <w:spacing w:after="160"/>
      </w:pPr>
      <w:r>
        <w:rPr>
          <w:rFonts w:ascii="Inter" w:cs="Inter" w:eastAsia="Inter" w:hAnsi="Inter"/>
          <w:sz w:val="21"/>
          <w:szCs w:val="21"/>
        </w:rPr>
        <w:t xml:space="preserve">• “Most Popular” on middle tier with visual emphasis</w:t>
      </w:r>
    </w:p>
    <w:p>
      <w:pPr>
        <w:spacing w:after="160"/>
      </w:pPr>
      <w:r>
        <w:rPr>
          <w:rFonts w:ascii="Inter" w:cs="Inter" w:eastAsia="Inter" w:hAnsi="Inter"/>
          <w:sz w:val="21"/>
          <w:szCs w:val="21"/>
        </w:rPr>
        <w:t xml:space="preserve">• Annual/monthly toggle with savings badge</w:t>
      </w:r>
    </w:p>
    <w:p>
      <w:pPr>
        <w:spacing w:after="160"/>
      </w:pPr>
      <w:r>
        <w:rPr>
          <w:rFonts w:ascii="Inter" w:cs="Inter" w:eastAsia="Inter" w:hAnsi="Inter"/>
          <w:sz w:val="21"/>
          <w:szCs w:val="21"/>
        </w:rPr>
        <w:t xml:space="preserve">• Feature comparison table with “See all features” expander</w:t>
      </w:r>
    </w:p>
    <w:p>
      <w:pPr>
        <w:spacing w:after="160"/>
      </w:pPr>
      <w:r>
        <w:rPr>
          <w:rFonts w:ascii="Inter" w:cs="Inter" w:eastAsia="Inter" w:hAnsi="Inter"/>
          <w:sz w:val="21"/>
          <w:szCs w:val="21"/>
        </w:rPr>
        <w:t xml:space="preserve">• Social proof near pricing (logos, metrics, testimonials)</w:t>
      </w:r>
    </w:p>
    <w:p>
      <w:pPr>
        <w:spacing w:after="160"/>
      </w:pPr>
      <w:r>
        <w:rPr>
          <w:rFonts w:ascii="Inter" w:cs="Inter" w:eastAsia="Inter" w:hAnsi="Inter"/>
          <w:sz w:val="21"/>
          <w:szCs w:val="21"/>
        </w:rPr>
        <w:t xml:space="preserve">• FAQ section below tiers addressing objections</w:t>
      </w:r>
    </w:p>
    <w:p>
      <w:pPr>
        <w:spacing w:after="160"/>
      </w:pPr>
      <w:r>
        <w:rPr>
          <w:rFonts w:ascii="Inter" w:cs="Inter" w:eastAsia="Inter" w:hAnsi="Inter"/>
          <w:sz w:val="21"/>
          <w:szCs w:val="21"/>
        </w:rPr>
        <w:t xml:space="preserve">• Money-back guarantee or “cancel anytime” messaging</w:t>
      </w:r>
    </w:p>
    <w:p>
      <w:pPr>
        <w:spacing w:after="160"/>
      </w:pPr>
      <w:r>
        <w:rPr>
          <w:rFonts w:ascii="Inter" w:cs="Inter" w:eastAsia="Inter" w:hAnsi="Inter"/>
          <w:sz w:val="21"/>
          <w:szCs w:val="21"/>
        </w:rPr>
        <w:t xml:space="preserve">• Mobile-responsive design (50%+ of SMB traffic is mobile)</w:t>
      </w:r>
    </w:p>
    <w:p>
      <w:r>
        <w:br w:type="page"/>
      </w:r>
    </w:p>
    <w:p>
      <w:pPr>
        <w:pStyle w:val="Heading1"/>
        <w:spacing w:after="200" w:before="360"/>
      </w:pPr>
      <w:r>
        <w:rPr>
          <w:rFonts w:ascii="Arial" w:cs="Arial" w:eastAsia="Arial" w:hAnsi="Arial"/>
          <w:b/>
          <w:bCs/>
          <w:color w:val="EF6F2E"/>
          <w:sz w:val="32"/>
          <w:szCs w:val="32"/>
        </w:rPr>
        <w:t xml:space="preserve">8. SEO Keyword Opportunities for Pricing Page</w:t>
      </w:r>
    </w:p>
    <w:p>
      <w:pPr>
        <w:spacing w:after="160"/>
      </w:pPr>
      <w:r>
        <w:rPr>
          <w:rFonts w:ascii="Inter" w:cs="Inter" w:eastAsia="Inter" w:hAnsi="Inter"/>
          <w:sz w:val="21"/>
          <w:szCs w:val="21"/>
        </w:rPr>
        <w:t xml:space="preserve">Based on competitor keyword analysis and market research, the following keywords should be targeted on Hirelessly’s pricing page and supporting content: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400"/>
        <w:gridCol w:w="2120"/>
      </w:tblGrid>
      <w:tr>
        <w:tc>
          <w:tcPr>
            <w:tcW w:type="dxa" w:w="32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5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Est. Monthly Volume</w:t>
            </w:r>
          </w:p>
        </w:tc>
        <w:tc>
          <w:tcPr>
            <w:tcW w:type="dxa" w:w="15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Competition</w:t>
            </w:r>
          </w:p>
        </w:tc>
        <w:tc>
          <w:tcPr>
            <w:tcW w:type="dxa" w:w="140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120"/>
            <w:tcBorders>
              <w:top w:val="single" w:color="CCCCCC" w:sz="1"/>
              <w:left w:val="single" w:color="CCCCCC" w:sz="1"/>
              <w:bottom w:val="single" w:color="CCCCCC" w:sz="1"/>
              <w:right w:val="single" w:color="CCCCCC" w:sz="1"/>
            </w:tcBorders>
            <w:shd w:fill="1A1410" w:val="clear"/>
            <w:tcMar>
              <w:top w:type="dxa" w:w="60"/>
              <w:left w:type="dxa" w:w="100"/>
              <w:bottom w:type="dxa" w:w="60"/>
              <w:right w:type="dxa" w:w="100"/>
            </w:tcMar>
          </w:tcPr>
          <w:p>
            <w:r>
              <w:rPr>
                <w:rFonts w:ascii="Arial" w:cs="Arial" w:eastAsia="Arial" w:hAnsi="Arial"/>
                <w:b/>
                <w:bCs/>
                <w:color w:val="FFFFFF"/>
                <w:sz w:val="18"/>
                <w:szCs w:val="18"/>
              </w:rPr>
              <w:t xml:space="preserve">Recommended Use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virtual assistant pricing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1,200–2,400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H1 or H2 on pricing page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managed ai assistant cost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200–500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Transactional</w:t>
            </w:r>
          </w:p>
        </w:tc>
        <w:tc>
          <w:tcPr>
            <w:tcW w:type="dxa" w:w="2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Meta description, body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automation pricing for small business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300–800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H2, body copy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replace virtual assistant with ai cost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100–400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Comparison</w:t>
            </w:r>
          </w:p>
        </w:tc>
        <w:tc>
          <w:tcPr>
            <w:tcW w:type="dxa" w:w="2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Blog post linking to pricing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assistant monthly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400–900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H2, pricing card headers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business automation pricing 2026</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200–600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2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Blog post, body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agent setup cost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100–300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FAQ section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how much does ai assistant cost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800–1,500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Informational</w:t>
            </w:r>
          </w:p>
        </w:tc>
        <w:tc>
          <w:tcPr>
            <w:tcW w:type="dxa" w:w="2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Blog pillar linking to pricing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cheapest ai virtual assistant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300–700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title variant, body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ai vs human virtual assistant cost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500–1,000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Low–Med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Comparison</w:t>
            </w:r>
          </w:p>
        </w:tc>
        <w:tc>
          <w:tcPr>
            <w:tcW w:type="dxa" w:w="2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Money page, comparison table</w:t>
            </w:r>
          </w:p>
        </w:tc>
      </w:tr>
    </w:tbl>
    <w:p>
      <w:pPr>
        <w:spacing w:after="160"/>
      </w:pPr>
      <w:r>
        <w:rPr>
          <w:rFonts w:ascii="Inter" w:cs="Inter" w:eastAsia="Inter" w:hAnsi="Inter"/>
          <w:sz w:val="21"/>
          <w:szCs w:val="21"/>
        </w:rPr>
        <w:t xml:space="preserve">Note: Search volumes are estimates based on related keyword data from SEO tools and competitor traffic analysis. Actual volumes should be verified with Ahrefs, Semrush, or Google Keyword Planner.</w:t>
      </w:r>
    </w:p>
    <w:p>
      <w:r>
        <w:br w:type="page"/>
      </w:r>
    </w:p>
    <w:p>
      <w:pPr>
        <w:pStyle w:val="Heading1"/>
        <w:spacing w:after="200" w:before="360"/>
      </w:pPr>
      <w:r>
        <w:rPr>
          <w:rFonts w:ascii="Arial" w:cs="Arial" w:eastAsia="Arial" w:hAnsi="Arial"/>
          <w:b/>
          <w:bCs/>
          <w:color w:val="EF6F2E"/>
          <w:sz w:val="32"/>
          <w:szCs w:val="32"/>
        </w:rPr>
        <w:t xml:space="preserve">9. Final Recommendation</w:t>
      </w:r>
    </w:p>
    <w:p>
      <w:pPr>
        <w:spacing w:after="160"/>
      </w:pPr>
      <w:r>
        <w:rPr>
          <w:rFonts w:ascii="Inter" w:cs="Inter" w:eastAsia="Inter" w:hAnsi="Inter"/>
          <w:b/>
          <w:bCs/>
          <w:color w:val="EF6F2E"/>
          <w:sz w:val="21"/>
          <w:szCs w:val="21"/>
        </w:rPr>
        <w:t xml:space="preserve">Should Hirelessly adjust pricing? No. Not right now.</w:t>
      </w:r>
    </w:p>
    <w:p>
      <w:pPr>
        <w:spacing w:after="160"/>
      </w:pPr>
      <w:r>
        <w:rPr>
          <w:rFonts w:ascii="Inter" w:cs="Inter" w:eastAsia="Inter" w:hAnsi="Inter"/>
          <w:sz w:val="21"/>
          <w:szCs w:val="21"/>
        </w:rPr>
        <w:t xml:space="preserve">Here is the direct assessment:</w:t>
      </w:r>
    </w:p>
    <w:p>
      <w:pPr>
        <w:pStyle w:val="Heading3"/>
        <w:spacing w:after="120" w:before="200"/>
      </w:pPr>
      <w:r>
        <w:rPr>
          <w:rFonts w:ascii="Arial" w:cs="Arial" w:eastAsia="Arial" w:hAnsi="Arial"/>
          <w:b/>
          <w:bCs/>
          <w:color w:val="2D6A6A"/>
          <w:sz w:val="22"/>
          <w:szCs w:val="22"/>
        </w:rPr>
        <w:t xml:space="preserve">What’s working</w:t>
      </w:r>
    </w:p>
    <w:p>
      <w:pPr>
        <w:spacing w:after="160"/>
      </w:pPr>
      <w:r>
        <w:rPr>
          <w:rFonts w:ascii="Inter" w:cs="Inter" w:eastAsia="Inter" w:hAnsi="Inter"/>
          <w:sz w:val="21"/>
          <w:szCs w:val="21"/>
        </w:rPr>
        <w:t xml:space="preserve">1. Pricing range ($79–$349/mo) sits in the sweet spot between DIY AI tools ($20–$50/mo) and human VAs ($500–$3,000/mo). This positions Hirelessly as the obvious middle ground.</w:t>
      </w:r>
    </w:p>
    <w:p>
      <w:pPr>
        <w:spacing w:after="160"/>
      </w:pPr>
      <w:r>
        <w:rPr>
          <w:rFonts w:ascii="Inter" w:cs="Inter" w:eastAsia="Inter" w:hAnsi="Inter"/>
          <w:sz w:val="21"/>
          <w:szCs w:val="21"/>
        </w:rPr>
        <w:t xml:space="preserve">2. Margins are excellent (75–86%) across all subscription tiers, exceeding both SaaS and managed service benchmarks.</w:t>
      </w:r>
    </w:p>
    <w:p>
      <w:pPr>
        <w:spacing w:after="160"/>
      </w:pPr>
      <w:r>
        <w:rPr>
          <w:rFonts w:ascii="Inter" w:cs="Inter" w:eastAsia="Inter" w:hAnsi="Inter"/>
          <w:sz w:val="21"/>
          <w:szCs w:val="21"/>
        </w:rPr>
        <w:t xml:space="preserve">3. The hybrid model (flat + overage) combines the predictability SMBs want with the scalability the business needs.</w:t>
      </w:r>
    </w:p>
    <w:p>
      <w:pPr>
        <w:spacing w:after="160"/>
      </w:pPr>
      <w:r>
        <w:rPr>
          <w:rFonts w:ascii="Inter" w:cs="Inter" w:eastAsia="Inter" w:hAnsi="Inter"/>
          <w:sz w:val="21"/>
          <w:szCs w:val="21"/>
        </w:rPr>
        <w:t xml:space="preserve">4. Setup fees are competitive. They’re low enough to reduce friction while generating healthy profit ($199–$1,899 per client).</w:t>
      </w:r>
    </w:p>
    <w:p>
      <w:pPr>
        <w:pStyle w:val="Heading3"/>
        <w:spacing w:after="120" w:before="200"/>
      </w:pPr>
      <w:r>
        <w:rPr>
          <w:rFonts w:ascii="Arial" w:cs="Arial" w:eastAsia="Arial" w:hAnsi="Arial"/>
          <w:b/>
          <w:bCs/>
          <w:color w:val="2D6A6A"/>
          <w:sz w:val="22"/>
          <w:szCs w:val="22"/>
        </w:rPr>
        <w:t xml:space="preserve">What to change (not price, but positioning)</w:t>
      </w:r>
    </w:p>
    <w:p>
      <w:pPr>
        <w:spacing w:after="160"/>
      </w:pPr>
      <w:r>
        <w:rPr>
          <w:rFonts w:ascii="Inter" w:cs="Inter" w:eastAsia="Inter" w:hAnsi="Inter"/>
          <w:sz w:val="21"/>
          <w:szCs w:val="21"/>
        </w:rPr>
        <w:t xml:space="preserve">1. Add the pricing page to the sitemap (currently missing per SEO context doc).</w:t>
      </w:r>
    </w:p>
    <w:p>
      <w:pPr>
        <w:spacing w:after="160"/>
      </w:pPr>
      <w:r>
        <w:rPr>
          <w:rFonts w:ascii="Inter" w:cs="Inter" w:eastAsia="Inter" w:hAnsi="Inter"/>
          <w:sz w:val="21"/>
          <w:szCs w:val="21"/>
        </w:rPr>
        <w:t xml:space="preserve">2. Emphasize the “done-for-you” positioning more aggressively on the pricing page. Every competitor at a similar price point requires clients to build their own agents. This is Hirelessly’s moat.</w:t>
      </w:r>
    </w:p>
    <w:p>
      <w:pPr>
        <w:spacing w:after="160"/>
      </w:pPr>
      <w:r>
        <w:rPr>
          <w:rFonts w:ascii="Inter" w:cs="Inter" w:eastAsia="Inter" w:hAnsi="Inter"/>
          <w:sz w:val="21"/>
          <w:szCs w:val="21"/>
        </w:rPr>
        <w:t xml:space="preserve">3. Add a “vs Filipino VA” cost comparison widget to the pricing page. Show the math: $1,000/mo Filipino VA × 12 = $12,000/yr vs Hirelessly Copilot at $199/mo × 12 = $2,388/yr. Savings: $9,612/yr.</w:t>
      </w:r>
    </w:p>
    <w:p>
      <w:pPr>
        <w:spacing w:after="160"/>
      </w:pPr>
      <w:r>
        <w:rPr>
          <w:rFonts w:ascii="Inter" w:cs="Inter" w:eastAsia="Inter" w:hAnsi="Inter"/>
          <w:sz w:val="21"/>
          <w:szCs w:val="21"/>
        </w:rPr>
        <w:t xml:space="preserve">4. Consider removing the “Cancel anytime after month 3” constraint, or reframe it as “3-month minimum engagement” with clear reasoning (setup and optimization takes 30–60 days).</w:t>
      </w:r>
    </w:p>
    <w:p>
      <w:pPr>
        <w:spacing w:after="160"/>
      </w:pPr>
      <w:r>
        <w:rPr>
          <w:rFonts w:ascii="Inter" w:cs="Inter" w:eastAsia="Inter" w:hAnsi="Inter"/>
          <w:sz w:val="21"/>
          <w:szCs w:val="21"/>
        </w:rPr>
        <w:t xml:space="preserve">5. Future pricing expansion: When the client base grows beyond 50+ subscribers, introduce an Enterprise tier at $499–$999/mo with dedicated account management, custom integrations, and SLA guarantees. This captures larger SMBs willing to pay more.</w:t>
      </w:r>
    </w:p>
    <w:p>
      <w:pPr>
        <w:pStyle w:val="Heading3"/>
        <w:spacing w:after="120" w:before="200"/>
      </w:pPr>
      <w:r>
        <w:rPr>
          <w:rFonts w:ascii="Arial" w:cs="Arial" w:eastAsia="Arial" w:hAnsi="Arial"/>
          <w:b/>
          <w:bCs/>
          <w:color w:val="2D6A6A"/>
          <w:sz w:val="22"/>
          <w:szCs w:val="22"/>
        </w:rPr>
        <w:t xml:space="preserve">When to revisit pricing</w:t>
      </w:r>
    </w:p>
    <w:p>
      <w:pPr>
        <w:spacing w:after="160"/>
      </w:pPr>
      <w:r>
        <w:rPr>
          <w:rFonts w:ascii="Inter" w:cs="Inter" w:eastAsia="Inter" w:hAnsi="Inter"/>
          <w:sz w:val="21"/>
          <w:szCs w:val="21"/>
        </w:rPr>
        <w:t xml:space="preserve">Revisit in 6–12 months based on: (a) actual customer acquisition cost data, (b) observed churn rates by tier, (c) usage patterns (are clients regularly hitting action limits?), and (d) AI API cost changes. If AI API costs increase materially, consider implementing a transparent AI cost passthrough on the Assisted tier rather than raising the flat monthly.</w:t>
      </w:r>
    </w:p>
    <w:p>
      <w:pPr>
        <w:spacing w:after="160"/>
      </w:pPr>
      <w:r>
        <w:rPr>
          <w:rFonts w:ascii="Inter" w:cs="Inter" w:eastAsia="Inter" w:hAnsi="Inter"/>
          <w:sz w:val="21"/>
          <w:szCs w:val="21"/>
        </w:rPr>
        <w:t xml:space="preserve"/>
      </w:r>
    </w:p>
    <w:p>
      <w:pPr>
        <w:pBdr>
          <w:bottom w:val="single" w:color="EF6F2E" w:sz="6" w:space="1"/>
        </w:pBdr>
      </w:pPr>
    </w:p>
    <w:p>
      <w:pPr>
        <w:spacing w:after="160"/>
      </w:pPr>
      <w:r>
        <w:rPr>
          <w:rFonts w:ascii="Inter" w:cs="Inter" w:eastAsia="Inter" w:hAnsi="Inter"/>
          <w:sz w:val="21"/>
          <w:szCs w:val="21"/>
        </w:rPr>
        <w:t xml:space="preserve"/>
      </w:r>
    </w:p>
    <w:p>
      <w:pPr>
        <w:spacing w:after="160"/>
      </w:pPr>
      <w:r>
        <w:rPr>
          <w:rFonts w:ascii="Inter" w:cs="Inter" w:eastAsia="Inter" w:hAnsi="Inter"/>
          <w:color w:val="888888"/>
          <w:sz w:val="21"/>
          <w:szCs w:val="21"/>
        </w:rPr>
        <w:t xml:space="preserve">Report prepared April 2026. Data sources include competitor websites, G2, Capterra, Glassdoor, PayScale, SMB Group, U.S. Chamber of Commerce, Thryv, PwC, and SBA reports. Search volume estimates are directional and should be validated with enterprise SEO tools.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2026-04-09T13:02:01.882Z</dcterms:created>
  <dcterms:modified xsi:type="dcterms:W3CDTF">2026-04-09T13:02:01.883Z</dcterms:modified>
</cp:coreProperties>
</file>

<file path=docProps/custom.xml><?xml version="1.0" encoding="utf-8"?>
<Properties xmlns="http://schemas.openxmlformats.org/officeDocument/2006/custom-properties" xmlns:vt="http://schemas.openxmlformats.org/officeDocument/2006/docPropsVTypes"/>
</file>