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000"/>
      </w:pPr>
    </w:p>
    <w:p>
      <w:pPr>
        <w:spacing w:after="300"/>
        <w:jc w:val="center"/>
      </w:pPr>
      <w:r>
        <w:drawing>
          <wp:inline distT="0" distB="0" distL="0" distR="0">
            <wp:extent cx="3238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762000"/>
                    </a:xfrm>
                    <a:prstGeom prst="rect">
                      <a:avLst/>
                    </a:prstGeom>
                  </pic:spPr>
                </pic:pic>
              </a:graphicData>
            </a:graphic>
          </wp:inline>
        </w:drawing>
      </w:r>
    </w:p>
    <w:p>
      <w:pPr>
        <w:spacing w:after="100"/>
        <w:jc w:val="center"/>
      </w:pPr>
      <w:r>
        <w:rPr>
          <w:rFonts w:ascii="Calibri" w:cs="Calibri" w:eastAsia="Calibri" w:hAnsi="Calibri"/>
          <w:b/>
          <w:bCs/>
          <w:color w:val="595959"/>
          <w:sz w:val="24"/>
          <w:szCs w:val="24"/>
        </w:rPr>
        <w:t xml:space="preserve">SYORITY CORPORATION PVT. LTD.</w:t>
      </w:r>
    </w:p>
    <w:p>
      <w:pPr>
        <w:pBdr>
          <w:bottom w:val="single" w:color="BF8F00" w:sz="12" w:space="8"/>
        </w:pBdr>
        <w:spacing w:after="500"/>
        <w:jc w:val="center"/>
      </w:pPr>
      <w:r>
        <w:rPr>
          <w:rFonts w:ascii="Calibri" w:cs="Calibri" w:eastAsia="Calibri" w:hAnsi="Calibri"/>
          <w:color w:val="595959"/>
          <w:sz w:val="20"/>
          <w:szCs w:val="20"/>
        </w:rPr>
        <w:t xml:space="preserve">Turnaround &amp; Shutdown Management System</w:t>
      </w:r>
    </w:p>
    <w:p>
      <w:pPr>
        <w:spacing w:after="200" w:before="900"/>
        <w:jc w:val="center"/>
      </w:pPr>
      <w:r>
        <w:rPr>
          <w:rFonts w:ascii="Calibri" w:cs="Calibri" w:eastAsia="Calibri" w:hAnsi="Calibri"/>
          <w:b/>
          <w:bCs/>
          <w:color w:val="1F3864"/>
          <w:sz w:val="48"/>
          <w:szCs w:val="48"/>
        </w:rPr>
        <w:t xml:space="preserve">WORKPACK GENERATION PROCESS</w:t>
      </w:r>
    </w:p>
    <w:p>
      <w:pPr>
        <w:spacing w:after="700"/>
        <w:jc w:val="center"/>
      </w:pPr>
      <w:r>
        <w:rPr>
          <w:rFonts w:ascii="Calibri" w:cs="Calibri" w:eastAsia="Calibri" w:hAnsi="Calibri"/>
          <w:i/>
          <w:iCs/>
          <w:color w:val="2E5FA3"/>
          <w:sz w:val="24"/>
          <w:szCs w:val="24"/>
        </w:rPr>
        <w:t xml:space="preserve">A Technical Process Note on How SYORITY Builds Job-Wise Turnaround Work-Packs</w:t>
      </w:r>
    </w:p>
    <w:p>
      <w:pPr>
        <w:spacing w:before="900"/>
        <w:jc w:val="center"/>
      </w:pPr>
      <w:r>
        <w:rPr>
          <w:rFonts w:ascii="Calibri" w:cs="Calibri" w:eastAsia="Calibri" w:hAnsi="Calibri"/>
          <w:color w:val="595959"/>
          <w:sz w:val="20"/>
          <w:szCs w:val="20"/>
        </w:rPr>
        <w:t xml:space="preserve">Prepared for</w:t>
      </w:r>
    </w:p>
    <w:p>
      <w:pPr>
        <w:spacing w:after="40"/>
        <w:jc w:val="center"/>
      </w:pPr>
      <w:r>
        <w:rPr>
          <w:rFonts w:ascii="Calibri" w:cs="Calibri" w:eastAsia="Calibri" w:hAnsi="Calibri"/>
          <w:b/>
          <w:bCs/>
          <w:color w:val="1F3864"/>
          <w:sz w:val="24"/>
          <w:szCs w:val="24"/>
        </w:rPr>
        <w:t xml:space="preserve">Gujarat Narmada Valley Fertilizers &amp; Chemicals Limited (GNFC)</w:t>
      </w:r>
    </w:p>
    <w:p>
      <w:pPr>
        <w:spacing w:after="500"/>
        <w:jc w:val="center"/>
      </w:pPr>
      <w:r>
        <w:rPr>
          <w:rFonts w:ascii="Calibri" w:cs="Calibri" w:eastAsia="Calibri" w:hAnsi="Calibri"/>
          <w:color w:val="595959"/>
          <w:sz w:val="19"/>
          <w:szCs w:val="19"/>
        </w:rPr>
        <w:t xml:space="preserve">Annual Shutdown 2027 — Bharuch, Gujarat  |  Tender Ref: GNFC/TS/ASD-2027/SCHEDULING</w:t>
      </w:r>
    </w:p>
    <w:p>
      <w:pPr>
        <w:spacing w:before="500"/>
        <w:jc w:val="center"/>
      </w:pPr>
      <w:r>
        <w:rPr>
          <w:rFonts w:ascii="Calibri" w:cs="Calibri" w:eastAsia="Calibri" w:hAnsi="Calibri"/>
          <w:color w:val="595959"/>
          <w:sz w:val="20"/>
          <w:szCs w:val="20"/>
        </w:rPr>
        <w:t xml:space="preserve">Prepared by</w:t>
      </w:r>
    </w:p>
    <w:p>
      <w:pPr>
        <w:spacing w:after="40"/>
        <w:jc w:val="center"/>
      </w:pPr>
      <w:r>
        <w:rPr>
          <w:rFonts w:ascii="Calibri" w:cs="Calibri" w:eastAsia="Calibri" w:hAnsi="Calibri"/>
          <w:b/>
          <w:bCs/>
          <w:color w:val="1F3864"/>
          <w:sz w:val="24"/>
          <w:szCs w:val="24"/>
        </w:rPr>
        <w:t xml:space="preserve">Syority Corporation Pvt. Ltd.</w:t>
      </w:r>
    </w:p>
    <w:p>
      <w:pPr>
        <w:spacing w:after="1000"/>
        <w:jc w:val="center"/>
      </w:pPr>
      <w:r>
        <w:rPr>
          <w:rFonts w:ascii="Calibri" w:cs="Calibri" w:eastAsia="Calibri" w:hAnsi="Calibri"/>
          <w:color w:val="595959"/>
          <w:sz w:val="19"/>
          <w:szCs w:val="19"/>
        </w:rPr>
        <w:t xml:space="preserve">19 August 2026</w:t>
      </w:r>
    </w:p>
    <w:p>
      <w:pPr>
        <w:spacing w:before="800"/>
        <w:jc w:val="center"/>
      </w:pPr>
      <w:r>
        <w:rPr>
          <w:rFonts w:ascii="Calibri" w:cs="Calibri" w:eastAsia="Calibri" w:hAnsi="Calibri"/>
          <w:i/>
          <w:iCs/>
          <w:color w:val="595959"/>
          <w:sz w:val="16"/>
          <w:szCs w:val="16"/>
        </w:rPr>
        <w:t xml:space="preserve">Document Ref: SYO-WP-PROC-GNFC-01  |  Companion note to SOP-SYO-TAR-001 (SYORITY Turnaround Execution Manual)</w:t>
      </w:r>
    </w:p>
    <w:p>
      <w:r>
        <w:br w:type="page"/>
      </w:r>
    </w:p>
    <w:p>
      <w:pPr>
        <w:sectPr>
          <w:pgSz w:w="11906" w:h="16838" w:orient="portrait"/>
          <w:pgMar w:top="1080" w:right="1080" w:bottom="1080" w:left="1080" w:header="708" w:footer="708" w:gutter="0"/>
          <w:pgNumType/>
          <w:docGrid w:linePitch="360"/>
        </w:sectPr>
      </w:pPr>
    </w:p>
    <w:p>
      <w:pPr>
        <w:pStyle w:val="Heading1"/>
        <w:pBdr>
          <w:bottom w:val="single" w:color="2E5FA3" w:sz="8" w:space="4"/>
        </w:pBdr>
        <w:spacing w:after="200" w:before="400"/>
      </w:pPr>
      <w:r>
        <w:rPr>
          <w:rFonts w:ascii="Calibri" w:cs="Calibri" w:eastAsia="Calibri" w:hAnsi="Calibri"/>
          <w:b/>
          <w:bCs/>
          <w:color w:val="1F3864"/>
          <w:sz w:val="30"/>
          <w:szCs w:val="30"/>
        </w:rPr>
        <w:t xml:space="preserve">1. Purpose of This Note</w:t>
      </w:r>
    </w:p>
    <w:p>
      <w:pPr>
        <w:spacing w:after="160" w:line="276"/>
        <w:jc w:val="both"/>
      </w:pPr>
      <w:r>
        <w:rPr>
          <w:rFonts w:ascii="Calibri" w:cs="Calibri" w:eastAsia="Calibri" w:hAnsi="Calibri"/>
          <w:color w:val="262626"/>
          <w:sz w:val="21"/>
          <w:szCs w:val="21"/>
        </w:rPr>
        <w:t xml:space="preserve">This note responds to GNFC's query on how Syority Corporation Pvt. Ltd. will generate the job-wise Turnaround (TA) work-packs required under the Annual Shutdown 2027 assignment at GNFC, Bharuch. It explains, step by step, the process our SYORITY platform follows to convert engineering drawings and equipment data into a fully engineered, schedule-ready, quality-controlled work-pack — and how each element GNFC has specified in Annexure-I (Scope of Work) is produced within that process.</w:t>
      </w:r>
    </w:p>
    <w:p>
      <w:pPr>
        <w:spacing w:after="160" w:line="276"/>
        <w:jc w:val="both"/>
      </w:pPr>
      <w:r>
        <w:rPr>
          <w:rFonts w:ascii="Calibri" w:cs="Calibri" w:eastAsia="Calibri" w:hAnsi="Calibri"/>
          <w:color w:val="262626"/>
          <w:sz w:val="21"/>
          <w:szCs w:val="21"/>
        </w:rPr>
        <w:t xml:space="preserve">The intent is to give GNFC's technical services team full visibility into the methodology, the tools used, the division of responsibility between our AI-assisted extraction and our human planning engineers, and the assurance controls that make each work-pack audit-ready before it enters the master TA schedule.</w:t>
      </w:r>
    </w:p>
    <w:p>
      <w:pPr>
        <w:spacing w:after="160" w:line="276"/>
        <w:jc w:val="both"/>
      </w:pPr>
      <w:r>
        <w:rPr>
          <w:rFonts w:ascii="Calibri" w:cs="Calibri" w:eastAsia="Calibri" w:hAnsi="Calibri"/>
          <w:color w:val="262626"/>
          <w:sz w:val="21"/>
          <w:szCs w:val="21"/>
        </w:rPr>
        <w:t xml:space="preserve">This note should be read alongside Annexure-I (Scope of Work) and the enclosed Schedule of Rates; it does not modify or supersede the commercial or contractual terms of the tender.</w:t>
      </w:r>
    </w:p>
    <w:p>
      <w:pPr>
        <w:pStyle w:val="Heading1"/>
        <w:pBdr>
          <w:bottom w:val="single" w:color="2E5FA3" w:sz="8" w:space="4"/>
        </w:pBdr>
        <w:spacing w:after="200" w:before="400"/>
      </w:pPr>
      <w:r>
        <w:rPr>
          <w:rFonts w:ascii="Calibri" w:cs="Calibri" w:eastAsia="Calibri" w:hAnsi="Calibri"/>
          <w:b/>
          <w:bCs/>
          <w:color w:val="1F3864"/>
          <w:sz w:val="30"/>
          <w:szCs w:val="30"/>
        </w:rPr>
        <w:t xml:space="preserve">2. Executive Summary</w:t>
      </w:r>
    </w:p>
    <w:p>
      <w:pPr>
        <w:spacing w:after="160" w:line="276"/>
        <w:jc w:val="both"/>
      </w:pPr>
      <w:r>
        <w:rPr>
          <w:rFonts w:ascii="Calibri" w:cs="Calibri" w:eastAsia="Calibri" w:hAnsi="Calibri"/>
          <w:color w:val="262626"/>
          <w:sz w:val="21"/>
          <w:szCs w:val="21"/>
        </w:rPr>
        <w:t xml:space="preserve">A “work-pack” in the SYORITY system is a fully structured, equipment-specific job package that contains everything a discipline engineer, QA/QC inspector, and site supervisor needs to plan, execute, and certify a single piece of shutdown work — from job scope and isolation steps through to inspection, repair, box-up, and final sign-off.</w:t>
      </w:r>
    </w:p>
    <w:p>
      <w:pPr>
        <w:spacing w:after="160" w:line="276"/>
        <w:jc w:val="both"/>
      </w:pPr>
      <w:r>
        <w:rPr>
          <w:rFonts w:ascii="Calibri" w:cs="Calibri" w:eastAsia="Calibri" w:hAnsi="Calibri"/>
          <w:color w:val="262626"/>
          <w:sz w:val="21"/>
          <w:szCs w:val="21"/>
        </w:rPr>
        <w:t xml:space="preserve">Work-packs are not typed out manually from scratch. They are engineered through a five-stage process: (1) drawing ingestion and data extraction, (2) planner verification and asset master creation, (3) template-based work-pack instantiation from a standardized 102-activity knowledge bank, (4) attachment of statutory certificates and hold points, and (5) integration into the master Critical Path Method (CPM) schedule. Every work-pack that reaches the field has passed through 100% human engineering review — AI is used only to accelerate data capture from drawings, never to make engineering decisions.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Traditional Excel-Based Method</w:t>
            </w:r>
          </w:p>
        </w:tc>
        <w:tc>
          <w:tcPr>
            <w:tcW w:type="dxa" w:w="31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SYORITY Structured Process</w:t>
            </w:r>
          </w:p>
        </w:tc>
        <w:tc>
          <w:tcPr>
            <w:tcW w:type="dxa" w:w="3116"/>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Impact for GNFC TA 2027</w:t>
            </w:r>
          </w:p>
        </w:tc>
      </w:tr>
      <w:tr>
        <w:tc>
          <w:tcPr>
            <w:tcW w:type="dxa" w:w="3117"/>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8–14 days to assemble one work-pack manually</w:t>
            </w:r>
          </w:p>
        </w:tc>
        <w:tc>
          <w:tcPr>
            <w:tcW w:type="dxa" w:w="3117"/>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10–16 hours per work-pack using templates + AI-assisted extraction</w:t>
            </w:r>
          </w:p>
        </w:tc>
        <w:tc>
          <w:tcPr>
            <w:tcW w:type="dxa" w:w="3116"/>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~30 work-packs engineered well within the Oct 2026 – TA start window</w:t>
            </w:r>
          </w:p>
        </w:tc>
      </w:tr>
      <w:tr>
        <w:tc>
          <w:tcPr>
            <w:tcW w:type="dxa" w:w="3117"/>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Drawing data re-typed by hand into spreadsheets</w:t>
            </w:r>
          </w:p>
        </w:tc>
        <w:tc>
          <w:tcPr>
            <w:tcW w:type="dxa" w:w="3117"/>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AI Vision/OCR reads P&amp;IDs, GA drawings &amp; nozzle schedules; planner verifies</w:t>
            </w:r>
          </w:p>
        </w:tc>
        <w:tc>
          <w:tcPr>
            <w:tcW w:type="dxa" w:w="3116"/>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Fewer transcription errors in nozzle, gasket &amp; bolting data</w:t>
            </w:r>
          </w:p>
        </w:tc>
      </w:tr>
      <w:tr>
        <w:tc>
          <w:tcPr>
            <w:tcW w:type="dxa" w:w="3117"/>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Work-pack content scattered across files, inconsistent format</w:t>
            </w:r>
          </w:p>
        </w:tc>
        <w:tc>
          <w:tcPr>
            <w:tcW w:type="dxa" w:w="3117"/>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Single standardized template per equipment class; all fields captured</w:t>
            </w:r>
          </w:p>
        </w:tc>
        <w:tc>
          <w:tcPr>
            <w:tcW w:type="dxa" w:w="3116"/>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Consistent, auditable work-packs across all disciplines</w:t>
            </w:r>
          </w:p>
        </w:tc>
      </w:tr>
    </w:tbl>
    <w:p>
      <w:pPr>
        <w:spacing w:after="120"/>
      </w:pPr>
    </w:p>
    <w:p>
      <w:pPr>
        <w:pStyle w:val="Heading1"/>
        <w:pBdr>
          <w:bottom w:val="single" w:color="2E5FA3" w:sz="8" w:space="4"/>
        </w:pBdr>
        <w:spacing w:after="200" w:before="400"/>
      </w:pPr>
      <w:r>
        <w:rPr>
          <w:rFonts w:ascii="Calibri" w:cs="Calibri" w:eastAsia="Calibri" w:hAnsi="Calibri"/>
          <w:b/>
          <w:bCs/>
          <w:color w:val="1F3864"/>
          <w:sz w:val="30"/>
          <w:szCs w:val="30"/>
        </w:rPr>
        <w:t xml:space="preserve">3. Operating Philosophy: Human Engineering Authority, AI-Assisted Speed</w:t>
      </w:r>
    </w:p>
    <w:p>
      <w:pPr>
        <w:spacing w:after="160" w:line="276"/>
        <w:jc w:val="both"/>
      </w:pPr>
      <w:r>
        <w:rPr>
          <w:rFonts w:ascii="Calibri" w:cs="Calibri" w:eastAsia="Calibri" w:hAnsi="Calibri"/>
          <w:color w:val="262626"/>
          <w:sz w:val="21"/>
          <w:szCs w:val="21"/>
        </w:rPr>
        <w:t xml:space="preserve">The single most important control in the SYORITY methodology is that the planning engineer retains 100% engineering authority over every work-pack. Artificial Intelligence is used in one place only — reading engineering drawings and extracting structured data — and every value it produces is presented to a qualified planner for verification before it becomes part of the official record.</w:t>
      </w:r>
    </w:p>
    <w:p>
      <w:pPr>
        <w:pStyle w:val="Heading3"/>
        <w:spacing w:after="100" w:before="200"/>
      </w:pPr>
      <w:r>
        <w:rPr>
          <w:rFonts w:ascii="Calibri" w:cs="Calibri" w:eastAsia="Calibri" w:hAnsi="Calibri"/>
          <w:b/>
          <w:bCs/>
          <w:color w:val="1F3864"/>
          <w:sz w:val="21"/>
          <w:szCs w:val="21"/>
        </w:rPr>
        <w:t xml:space="preserve">AI's role (bounded and non-destructive)</w:t>
      </w:r>
    </w:p>
    <w:p>
      <w:pPr>
        <w:pStyle w:val="ListParagraph"/>
        <w:numPr>
          <w:ilvl w:val="0"/>
          <w:numId w:val="2"/>
        </w:numPr>
        <w:spacing w:after="90"/>
      </w:pPr>
      <w:r>
        <w:rPr>
          <w:rFonts w:ascii="Calibri" w:cs="Calibri" w:eastAsia="Calibri" w:hAnsi="Calibri"/>
          <w:color w:val="262626"/>
          <w:sz w:val="21"/>
          <w:szCs w:val="21"/>
        </w:rPr>
        <w:t xml:space="preserve">High-speed computer vision / OCR scanning of P&amp;IDs, equipment GA drawings, nozzle schedules, isometrics, and vendor data sheets.</w:t>
      </w:r>
    </w:p>
    <w:p>
      <w:pPr>
        <w:pStyle w:val="ListParagraph"/>
        <w:numPr>
          <w:ilvl w:val="0"/>
          <w:numId w:val="2"/>
        </w:numPr>
        <w:spacing w:after="90"/>
      </w:pPr>
      <w:r>
        <w:rPr>
          <w:rFonts w:ascii="Calibri" w:cs="Calibri" w:eastAsia="Calibri" w:hAnsi="Calibri"/>
          <w:color w:val="262626"/>
          <w:sz w:val="21"/>
          <w:szCs w:val="21"/>
        </w:rPr>
        <w:t xml:space="preserve">Extraction of structured candidate data: equipment tags, design pressure/temperature, nozzle sizes and ratings, bolting details, gasket types, thickness data.</w:t>
      </w:r>
    </w:p>
    <w:p>
      <w:pPr>
        <w:pStyle w:val="ListParagraph"/>
        <w:numPr>
          <w:ilvl w:val="0"/>
          <w:numId w:val="2"/>
        </w:numPr>
        <w:spacing w:after="90"/>
      </w:pPr>
      <w:r>
        <w:rPr>
          <w:rFonts w:ascii="Calibri" w:cs="Calibri" w:eastAsia="Calibri" w:hAnsi="Calibri"/>
          <w:color w:val="262626"/>
          <w:sz w:val="21"/>
          <w:szCs w:val="21"/>
        </w:rPr>
        <w:t xml:space="preserve">AI never finalizes a work-pack, never assigns resources, and never approves a certificate.</w:t>
      </w:r>
    </w:p>
    <w:p>
      <w:pPr>
        <w:pStyle w:val="Heading3"/>
        <w:spacing w:after="100" w:before="200"/>
      </w:pPr>
      <w:r>
        <w:rPr>
          <w:rFonts w:ascii="Calibri" w:cs="Calibri" w:eastAsia="Calibri" w:hAnsi="Calibri"/>
          <w:b/>
          <w:bCs/>
          <w:color w:val="1F3864"/>
          <w:sz w:val="21"/>
          <w:szCs w:val="21"/>
        </w:rPr>
        <w:t xml:space="preserve">Planner's role (100% engineering authority)</w:t>
      </w:r>
    </w:p>
    <w:p>
      <w:pPr>
        <w:pStyle w:val="ListParagraph"/>
        <w:numPr>
          <w:ilvl w:val="0"/>
          <w:numId w:val="2"/>
        </w:numPr>
        <w:spacing w:after="90"/>
      </w:pPr>
      <w:r>
        <w:rPr>
          <w:rFonts w:ascii="Calibri" w:cs="Calibri" w:eastAsia="Calibri" w:hAnsi="Calibri"/>
          <w:color w:val="262626"/>
          <w:sz w:val="21"/>
          <w:szCs w:val="21"/>
        </w:rPr>
        <w:t xml:space="preserve">Verifies every AI-extracted value against the source drawing before it is accepted.</w:t>
      </w:r>
    </w:p>
    <w:p>
      <w:pPr>
        <w:pStyle w:val="ListParagraph"/>
        <w:numPr>
          <w:ilvl w:val="0"/>
          <w:numId w:val="2"/>
        </w:numPr>
        <w:spacing w:after="90"/>
      </w:pPr>
      <w:r>
        <w:rPr>
          <w:rFonts w:ascii="Calibri" w:cs="Calibri" w:eastAsia="Calibri" w:hAnsi="Calibri"/>
          <w:color w:val="262626"/>
          <w:sz w:val="21"/>
          <w:szCs w:val="21"/>
        </w:rPr>
        <w:t xml:space="preserve">Builds the plant/equipment hierarchy and instantiates work-packs from standardized templates.</w:t>
      </w:r>
    </w:p>
    <w:p>
      <w:pPr>
        <w:pStyle w:val="ListParagraph"/>
        <w:numPr>
          <w:ilvl w:val="0"/>
          <w:numId w:val="2"/>
        </w:numPr>
        <w:spacing w:after="90"/>
      </w:pPr>
      <w:r>
        <w:rPr>
          <w:rFonts w:ascii="Calibri" w:cs="Calibri" w:eastAsia="Calibri" w:hAnsi="Calibri"/>
          <w:color w:val="262626"/>
          <w:sz w:val="21"/>
          <w:szCs w:val="21"/>
        </w:rPr>
        <w:t xml:space="preserve">Assigns crew resources, sequences activities, defines hold points, and sets durations.</w:t>
      </w:r>
    </w:p>
    <w:p>
      <w:pPr>
        <w:pStyle w:val="ListParagraph"/>
        <w:numPr>
          <w:ilvl w:val="0"/>
          <w:numId w:val="2"/>
        </w:numPr>
        <w:spacing w:after="90"/>
      </w:pPr>
      <w:r>
        <w:rPr>
          <w:rFonts w:ascii="Calibri" w:cs="Calibri" w:eastAsia="Calibri" w:hAnsi="Calibri"/>
          <w:color w:val="262626"/>
          <w:sz w:val="21"/>
          <w:szCs w:val="21"/>
        </w:rPr>
        <w:t xml:space="preserve">Generates and signs off statutory quality certificates, and manages schedule and reporting dashboards.</w:t>
      </w:r>
    </w:p>
    <w:p>
      <w:pPr>
        <w:spacing w:after="120"/>
      </w:pPr>
    </w:p>
    <w:p>
      <w:pPr>
        <w:pStyle w:val="Heading1"/>
        <w:pBdr>
          <w:bottom w:val="single" w:color="2E5FA3" w:sz="8" w:space="4"/>
        </w:pBdr>
        <w:spacing w:after="200" w:before="400"/>
      </w:pPr>
      <w:r>
        <w:rPr>
          <w:rFonts w:ascii="Calibri" w:cs="Calibri" w:eastAsia="Calibri" w:hAnsi="Calibri"/>
          <w:b/>
          <w:bCs/>
          <w:color w:val="1F3864"/>
          <w:sz w:val="30"/>
          <w:szCs w:val="30"/>
        </w:rPr>
        <w:t xml:space="preserve">4. Where Work-Pack Generation Sits in the TA Lifecycle</w:t>
      </w:r>
    </w:p>
    <w:p>
      <w:pPr>
        <w:spacing w:after="160" w:line="276"/>
        <w:jc w:val="both"/>
      </w:pPr>
      <w:r>
        <w:rPr>
          <w:rFonts w:ascii="Calibri" w:cs="Calibri" w:eastAsia="Calibri" w:hAnsi="Calibri"/>
          <w:color w:val="262626"/>
          <w:sz w:val="21"/>
          <w:szCs w:val="21"/>
        </w:rPr>
        <w:t xml:space="preserve">Work-pack generation is Phase 2 of the five-phase SYORITY turnaround lifecycle. It builds directly on the verified equipment data captured in Phase 1, and its output — the completed work-pack — becomes the building block for the master CPM schedule in Phase 3, the field progress tracking in Phase 4, and the as-built closeout dossier in Phase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PHASE 1</w:t>
            </w:r>
          </w:p>
        </w:tc>
        <w:tc>
          <w:tcPr>
            <w:tcW w:type="dxa" w:w="1870"/>
            <w:shd w:fill="BF8F0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PHASE 2</w:t>
            </w:r>
          </w:p>
        </w:tc>
        <w:tc>
          <w:tcPr>
            <w:tcW w:type="dxa" w:w="18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PHASE 3</w:t>
            </w:r>
          </w:p>
        </w:tc>
        <w:tc>
          <w:tcPr>
            <w:tcW w:type="dxa" w:w="18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PHASE 4</w:t>
            </w:r>
          </w:p>
        </w:tc>
        <w:tc>
          <w:tcPr>
            <w:tcW w:type="dxa" w:w="18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PHASE 5</w:t>
            </w:r>
          </w:p>
        </w:tc>
      </w:tr>
      <w:tr>
        <w:tc>
          <w:tcPr>
            <w:tcW w:type="dxa" w:w="1870"/>
            <w:shd w:fill="DCE6F1" w:val="clear"/>
            <w:tcMar>
              <w:top w:type="dxa" w:w="80"/>
              <w:left w:type="dxa" w:w="100"/>
              <w:bottom w:type="dxa" w:w="80"/>
              <w:right w:type="dxa" w:w="100"/>
            </w:tcMar>
            <w:vAlign w:val="center"/>
          </w:tcPr>
          <w:p>
            <w:pPr>
              <w:jc w:val="center"/>
            </w:pPr>
            <w:r>
              <w:rPr>
                <w:rFonts w:ascii="Calibri" w:cs="Calibri" w:eastAsia="Calibri" w:hAnsi="Calibri"/>
                <w:b w:val="false"/>
                <w:bCs w:val="false"/>
                <w:color w:val="262626"/>
                <w:sz w:val="18"/>
                <w:szCs w:val="18"/>
              </w:rPr>
              <w:t xml:space="preserve">Drawing &amp; Data Ingestion</w:t>
            </w:r>
          </w:p>
        </w:tc>
        <w:tc>
          <w:tcPr>
            <w:tcW w:type="dxa" w:w="1870"/>
            <w:shd w:fill="FFF2CC" w:val="clear"/>
            <w:tcMar>
              <w:top w:type="dxa" w:w="80"/>
              <w:left w:type="dxa" w:w="100"/>
              <w:bottom w:type="dxa" w:w="80"/>
              <w:right w:type="dxa" w:w="100"/>
            </w:tcMar>
            <w:vAlign w:val="center"/>
          </w:tcPr>
          <w:p>
            <w:pPr>
              <w:jc w:val="center"/>
            </w:pPr>
            <w:r>
              <w:rPr>
                <w:rFonts w:ascii="Calibri" w:cs="Calibri" w:eastAsia="Calibri" w:hAnsi="Calibri"/>
                <w:b w:val="false"/>
                <w:bCs w:val="false"/>
                <w:color w:val="262626"/>
                <w:sz w:val="18"/>
                <w:szCs w:val="18"/>
              </w:rPr>
              <w:t xml:space="preserve">Work-Pack &amp; QA Engineering</w:t>
            </w:r>
          </w:p>
        </w:tc>
        <w:tc>
          <w:tcPr>
            <w:tcW w:type="dxa" w:w="1870"/>
            <w:shd w:fill="DCE6F1" w:val="clear"/>
            <w:tcMar>
              <w:top w:type="dxa" w:w="80"/>
              <w:left w:type="dxa" w:w="100"/>
              <w:bottom w:type="dxa" w:w="80"/>
              <w:right w:type="dxa" w:w="100"/>
            </w:tcMar>
            <w:vAlign w:val="center"/>
          </w:tcPr>
          <w:p>
            <w:pPr>
              <w:jc w:val="center"/>
            </w:pPr>
            <w:r>
              <w:rPr>
                <w:rFonts w:ascii="Calibri" w:cs="Calibri" w:eastAsia="Calibri" w:hAnsi="Calibri"/>
                <w:b w:val="false"/>
                <w:bCs w:val="false"/>
                <w:color w:val="262626"/>
                <w:sz w:val="18"/>
                <w:szCs w:val="18"/>
              </w:rPr>
              <w:t xml:space="preserve">Scheduling, CPM &amp; P6 Export</w:t>
            </w:r>
          </w:p>
        </w:tc>
        <w:tc>
          <w:tcPr>
            <w:tcW w:type="dxa" w:w="1870"/>
            <w:shd w:fill="DCE6F1" w:val="clear"/>
            <w:tcMar>
              <w:top w:type="dxa" w:w="80"/>
              <w:left w:type="dxa" w:w="100"/>
              <w:bottom w:type="dxa" w:w="80"/>
              <w:right w:type="dxa" w:w="100"/>
            </w:tcMar>
            <w:vAlign w:val="center"/>
          </w:tcPr>
          <w:p>
            <w:pPr>
              <w:jc w:val="center"/>
            </w:pPr>
            <w:r>
              <w:rPr>
                <w:rFonts w:ascii="Calibri" w:cs="Calibri" w:eastAsia="Calibri" w:hAnsi="Calibri"/>
                <w:b w:val="false"/>
                <w:bCs w:val="false"/>
                <w:color w:val="262626"/>
                <w:sz w:val="18"/>
                <w:szCs w:val="18"/>
              </w:rPr>
              <w:t xml:space="preserve">Execution &amp; Progress (DPR)</w:t>
            </w:r>
          </w:p>
        </w:tc>
        <w:tc>
          <w:tcPr>
            <w:tcW w:type="dxa" w:w="1870"/>
            <w:shd w:fill="DCE6F1" w:val="clear"/>
            <w:tcMar>
              <w:top w:type="dxa" w:w="80"/>
              <w:left w:type="dxa" w:w="100"/>
              <w:bottom w:type="dxa" w:w="80"/>
              <w:right w:type="dxa" w:w="100"/>
            </w:tcMar>
            <w:vAlign w:val="center"/>
          </w:tcPr>
          <w:p>
            <w:pPr>
              <w:jc w:val="center"/>
            </w:pPr>
            <w:r>
              <w:rPr>
                <w:rFonts w:ascii="Calibri" w:cs="Calibri" w:eastAsia="Calibri" w:hAnsi="Calibri"/>
                <w:b w:val="false"/>
                <w:bCs w:val="false"/>
                <w:color w:val="262626"/>
                <w:sz w:val="18"/>
                <w:szCs w:val="18"/>
              </w:rPr>
              <w:t xml:space="preserve">Closeout &amp; Reporting</w:t>
            </w:r>
          </w:p>
        </w:tc>
      </w:tr>
    </w:tbl>
    <w:p>
      <w:pPr>
        <w:spacing w:after="120"/>
      </w:pPr>
    </w:p>
    <w:p>
      <w:pPr>
        <w:spacing w:after="160" w:line="276"/>
        <w:jc w:val="both"/>
      </w:pPr>
      <w:r>
        <w:rPr>
          <w:rFonts w:ascii="Calibri" w:cs="Calibri" w:eastAsia="Calibri" w:hAnsi="Calibri"/>
          <w:color w:val="262626"/>
          <w:sz w:val="21"/>
          <w:szCs w:val="21"/>
        </w:rPr>
        <w:t xml:space="preserve">The remainder of this note focuses on Phase 2 — how each individual work-pack is actually built — since this is the process GNFC has asked about.</w:t>
      </w:r>
    </w:p>
    <w:p>
      <w:pPr>
        <w:pStyle w:val="Heading1"/>
        <w:pBdr>
          <w:bottom w:val="single" w:color="2E5FA3" w:sz="8" w:space="4"/>
        </w:pBdr>
        <w:spacing w:after="200" w:before="400"/>
      </w:pPr>
      <w:r>
        <w:rPr>
          <w:rFonts w:ascii="Calibri" w:cs="Calibri" w:eastAsia="Calibri" w:hAnsi="Calibri"/>
          <w:b/>
          <w:bCs/>
          <w:color w:val="1F3864"/>
          <w:sz w:val="30"/>
          <w:szCs w:val="30"/>
        </w:rPr>
        <w:t xml:space="preserve">5. The Work-Pack Generation Process — Step by Step</w:t>
      </w:r>
    </w:p>
    <w:p>
      <w:pPr>
        <w:spacing w:after="160" w:line="276"/>
        <w:jc w:val="both"/>
      </w:pPr>
      <w:r>
        <w:rPr>
          <w:rFonts w:ascii="Calibri" w:cs="Calibri" w:eastAsia="Calibri" w:hAnsi="Calibri"/>
          <w:color w:val="262626"/>
          <w:sz w:val="21"/>
          <w:szCs w:val="21"/>
        </w:rPr>
        <w:t xml:space="preserve">Six sequential steps take a piece of equipment from “identified in the TA scope” to “fully engineered work-pack ready for scheduling.”</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120"/>
              <w:left w:type="dxa" w:w="80"/>
              <w:bottom w:type="dxa" w:w="120"/>
              <w:right w:type="dxa" w:w="80"/>
            </w:tcMar>
            <w:vAlign w:val="center"/>
          </w:tcPr>
          <w:p>
            <w:pPr>
              <w:jc w:val="center"/>
            </w:pPr>
            <w:r>
              <w:rPr>
                <w:rFonts w:ascii="Calibri" w:cs="Calibri" w:eastAsia="Calibri" w:hAnsi="Calibri"/>
                <w:b/>
                <w:bCs/>
                <w:color w:val="FFFFFF"/>
                <w:sz w:val="26"/>
                <w:szCs w:val="26"/>
              </w:rPr>
              <w:t xml:space="preserve">1</w:t>
            </w:r>
          </w:p>
        </w:tc>
        <w:tc>
          <w:tcPr>
            <w:tcW w:type="dxa" w:w="8450"/>
            <w:shd w:fill="DCE6F1" w:val="clear"/>
            <w:tcMar>
              <w:top w:type="dxa" w:w="120"/>
              <w:left w:type="dxa" w:w="180"/>
              <w:bottom w:type="dxa" w:w="120"/>
              <w:right w:type="dxa" w:w="180"/>
            </w:tcMar>
          </w:tcPr>
          <w:p>
            <w:pPr>
              <w:spacing w:after="60"/>
            </w:pPr>
            <w:r>
              <w:rPr>
                <w:rFonts w:ascii="Calibri" w:cs="Calibri" w:eastAsia="Calibri" w:hAnsi="Calibri"/>
                <w:b/>
                <w:bCs/>
                <w:color w:val="1F3864"/>
                <w:sz w:val="22"/>
                <w:szCs w:val="22"/>
              </w:rPr>
              <w:t xml:space="preserve">Master Asset Hierarchy Setup</w:t>
            </w:r>
          </w:p>
          <w:p>
            <w:pPr>
              <w:spacing w:after="0"/>
            </w:pPr>
            <w:r>
              <w:rPr>
                <w:rFonts w:ascii="Calibri" w:cs="Calibri" w:eastAsia="Calibri" w:hAnsi="Calibri"/>
                <w:color w:val="262626"/>
                <w:sz w:val="20"/>
                <w:szCs w:val="20"/>
              </w:rPr>
              <w:t xml:space="preserve">The planning team first builds the plant hierarchy in SYORITY: Enterprise/Client → Site → Complex/Plant → Unit (e.g. Ammonia, Urea, Utilities) → System → Equipment. Every asset in scope is tagged with its equipment classification (Heat Exchanger, Column, Vessel, Reactor, Pump, Piping, Relief Valve, Tank, etc.), giving every subsequent work-pack a fixed, traceable location in the plant structure.</w:t>
            </w:r>
          </w:p>
        </w:tc>
      </w:tr>
    </w:tbl>
    <w:p>
      <w:pPr>
        <w:spacing w:after="1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120"/>
              <w:left w:type="dxa" w:w="80"/>
              <w:bottom w:type="dxa" w:w="120"/>
              <w:right w:type="dxa" w:w="80"/>
            </w:tcMar>
            <w:vAlign w:val="center"/>
          </w:tcPr>
          <w:p>
            <w:pPr>
              <w:jc w:val="center"/>
            </w:pPr>
            <w:r>
              <w:rPr>
                <w:rFonts w:ascii="Calibri" w:cs="Calibri" w:eastAsia="Calibri" w:hAnsi="Calibri"/>
                <w:b/>
                <w:bCs/>
                <w:color w:val="FFFFFF"/>
                <w:sz w:val="26"/>
                <w:szCs w:val="26"/>
              </w:rPr>
              <w:t xml:space="preserve">2</w:t>
            </w:r>
          </w:p>
        </w:tc>
        <w:tc>
          <w:tcPr>
            <w:tcW w:type="dxa" w:w="8450"/>
            <w:shd w:fill="DCE6F1" w:val="clear"/>
            <w:tcMar>
              <w:top w:type="dxa" w:w="120"/>
              <w:left w:type="dxa" w:w="180"/>
              <w:bottom w:type="dxa" w:w="120"/>
              <w:right w:type="dxa" w:w="180"/>
            </w:tcMar>
          </w:tcPr>
          <w:p>
            <w:pPr>
              <w:spacing w:after="60"/>
            </w:pPr>
            <w:r>
              <w:rPr>
                <w:rFonts w:ascii="Calibri" w:cs="Calibri" w:eastAsia="Calibri" w:hAnsi="Calibri"/>
                <w:b/>
                <w:bCs/>
                <w:color w:val="1F3864"/>
                <w:sz w:val="22"/>
                <w:szCs w:val="22"/>
              </w:rPr>
              <w:t xml:space="preserve">Drawing Upload &amp; AI-Assisted Data Extraction</w:t>
            </w:r>
          </w:p>
          <w:p>
            <w:pPr>
              <w:spacing w:after="0"/>
            </w:pPr>
            <w:r>
              <w:rPr>
                <w:rFonts w:ascii="Calibri" w:cs="Calibri" w:eastAsia="Calibri" w:hAnsi="Calibri"/>
                <w:color w:val="262626"/>
                <w:sz w:val="20"/>
                <w:szCs w:val="20"/>
              </w:rPr>
              <w:t xml:space="preserve">Engineering drawings — P&amp;IDs, equipment GA drawings, fabrication drawings, nozzle schedules and vendor data sheets — are uploaded as PDF/scan/DWG files. The SYORITY AI Vision/OCR engine reads title blocks, nozzle schedules, bill-of-materials tables and design-data boxes, and produces a structured ‘candidate’ record: equipment tag &amp; service, design pressure/temperature, nozzle sizes and ratings, bolting (stud size, length, metallurgy), and gasket type. This is the only point in the entire process where AI touches the data.</w:t>
            </w:r>
          </w:p>
        </w:tc>
      </w:tr>
    </w:tbl>
    <w:p>
      <w:pPr>
        <w:spacing w:after="1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120"/>
              <w:left w:type="dxa" w:w="80"/>
              <w:bottom w:type="dxa" w:w="120"/>
              <w:right w:type="dxa" w:w="80"/>
            </w:tcMar>
            <w:vAlign w:val="center"/>
          </w:tcPr>
          <w:p>
            <w:pPr>
              <w:jc w:val="center"/>
            </w:pPr>
            <w:r>
              <w:rPr>
                <w:rFonts w:ascii="Calibri" w:cs="Calibri" w:eastAsia="Calibri" w:hAnsi="Calibri"/>
                <w:b/>
                <w:bCs/>
                <w:color w:val="FFFFFF"/>
                <w:sz w:val="26"/>
                <w:szCs w:val="26"/>
              </w:rPr>
              <w:t xml:space="preserve">3</w:t>
            </w:r>
          </w:p>
        </w:tc>
        <w:tc>
          <w:tcPr>
            <w:tcW w:type="dxa" w:w="8450"/>
            <w:shd w:fill="DCE6F1" w:val="clear"/>
            <w:tcMar>
              <w:top w:type="dxa" w:w="120"/>
              <w:left w:type="dxa" w:w="180"/>
              <w:bottom w:type="dxa" w:w="120"/>
              <w:right w:type="dxa" w:w="180"/>
            </w:tcMar>
          </w:tcPr>
          <w:p>
            <w:pPr>
              <w:spacing w:after="60"/>
            </w:pPr>
            <w:r>
              <w:rPr>
                <w:rFonts w:ascii="Calibri" w:cs="Calibri" w:eastAsia="Calibri" w:hAnsi="Calibri"/>
                <w:b/>
                <w:bCs/>
                <w:color w:val="1F3864"/>
                <w:sz w:val="22"/>
                <w:szCs w:val="22"/>
              </w:rPr>
              <w:t xml:space="preserve">Planner Verification &amp; Master Data Commitment</w:t>
            </w:r>
          </w:p>
          <w:p>
            <w:pPr>
              <w:spacing w:after="0"/>
            </w:pPr>
            <w:r>
              <w:rPr>
                <w:rFonts w:ascii="Calibri" w:cs="Calibri" w:eastAsia="Calibri" w:hAnsi="Calibri"/>
                <w:color w:val="262626"/>
                <w:sz w:val="20"/>
                <w:szCs w:val="20"/>
              </w:rPr>
              <w:t xml:space="preserve">A qualified planning engineer reviews every AI-extracted value side-by-side with the source drawing, and confirms, corrects or supplements it — nozzle list and flange dimensions, gasket type (spiral wound, kammprofile, ring joint, CSF), bolt sizing, torque values, bundle-pulling weight and rigging/crane requirements. Only after planner sign-off is the data committed to the Equipment Technical Record, the Joint Integrity Master Register, and the Blind Register, which together form the verified technical backbone of the work-pack.</w:t>
            </w:r>
          </w:p>
        </w:tc>
      </w:tr>
    </w:tbl>
    <w:p>
      <w:pPr>
        <w:spacing w:after="1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120"/>
              <w:left w:type="dxa" w:w="80"/>
              <w:bottom w:type="dxa" w:w="120"/>
              <w:right w:type="dxa" w:w="80"/>
            </w:tcMar>
            <w:vAlign w:val="center"/>
          </w:tcPr>
          <w:p>
            <w:pPr>
              <w:jc w:val="center"/>
            </w:pPr>
            <w:r>
              <w:rPr>
                <w:rFonts w:ascii="Calibri" w:cs="Calibri" w:eastAsia="Calibri" w:hAnsi="Calibri"/>
                <w:b/>
                <w:bCs/>
                <w:color w:val="FFFFFF"/>
                <w:sz w:val="26"/>
                <w:szCs w:val="26"/>
              </w:rPr>
              <w:t xml:space="preserve">4</w:t>
            </w:r>
          </w:p>
        </w:tc>
        <w:tc>
          <w:tcPr>
            <w:tcW w:type="dxa" w:w="8450"/>
            <w:shd w:fill="DCE6F1" w:val="clear"/>
            <w:tcMar>
              <w:top w:type="dxa" w:w="120"/>
              <w:left w:type="dxa" w:w="180"/>
              <w:bottom w:type="dxa" w:w="120"/>
              <w:right w:type="dxa" w:w="180"/>
            </w:tcMar>
          </w:tcPr>
          <w:p>
            <w:pPr>
              <w:spacing w:after="60"/>
            </w:pPr>
            <w:r>
              <w:rPr>
                <w:rFonts w:ascii="Calibri" w:cs="Calibri" w:eastAsia="Calibri" w:hAnsi="Calibri"/>
                <w:b/>
                <w:bCs/>
                <w:color w:val="1F3864"/>
                <w:sz w:val="22"/>
                <w:szCs w:val="22"/>
              </w:rPr>
              <w:t xml:space="preserve">Template Selection from the Canonical Activity Library</w:t>
            </w:r>
          </w:p>
          <w:p>
            <w:pPr>
              <w:spacing w:after="0"/>
            </w:pPr>
            <w:r>
              <w:rPr>
                <w:rFonts w:ascii="Calibri" w:cs="Calibri" w:eastAsia="Calibri" w:hAnsi="Calibri"/>
                <w:color w:val="262626"/>
                <w:sz w:val="20"/>
                <w:szCs w:val="20"/>
              </w:rPr>
              <w:t xml:space="preserve">The planner selects the standard work-pack template matching the equipment and job type — for example HX-BUNDLE-INSP for a heat exchanger bundle inspection, COL-TRAY-INSP for a column tray inspection, or VESSEL-INTERNAL-OVERHAUL for a vessel internal overhaul. Every template is built from a library of 102 standardized activity codes across 14 activity families (see Section 6), so the same job type always produces the same structured content, regardless of who is planning it.</w:t>
            </w:r>
          </w:p>
        </w:tc>
      </w:tr>
    </w:tbl>
    <w:p>
      <w:pPr>
        <w:spacing w:after="1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120"/>
              <w:left w:type="dxa" w:w="80"/>
              <w:bottom w:type="dxa" w:w="120"/>
              <w:right w:type="dxa" w:w="80"/>
            </w:tcMar>
            <w:vAlign w:val="center"/>
          </w:tcPr>
          <w:p>
            <w:pPr>
              <w:jc w:val="center"/>
            </w:pPr>
            <w:r>
              <w:rPr>
                <w:rFonts w:ascii="Calibri" w:cs="Calibri" w:eastAsia="Calibri" w:hAnsi="Calibri"/>
                <w:b/>
                <w:bCs/>
                <w:color w:val="FFFFFF"/>
                <w:sz w:val="26"/>
                <w:szCs w:val="26"/>
              </w:rPr>
              <w:t xml:space="preserve">5</w:t>
            </w:r>
          </w:p>
        </w:tc>
        <w:tc>
          <w:tcPr>
            <w:tcW w:type="dxa" w:w="8450"/>
            <w:shd w:fill="DCE6F1" w:val="clear"/>
            <w:tcMar>
              <w:top w:type="dxa" w:w="120"/>
              <w:left w:type="dxa" w:w="180"/>
              <w:bottom w:type="dxa" w:w="120"/>
              <w:right w:type="dxa" w:w="180"/>
            </w:tcMar>
          </w:tcPr>
          <w:p>
            <w:pPr>
              <w:spacing w:after="60"/>
            </w:pPr>
            <w:r>
              <w:rPr>
                <w:rFonts w:ascii="Calibri" w:cs="Calibri" w:eastAsia="Calibri" w:hAnsi="Calibri"/>
                <w:b/>
                <w:bCs/>
                <w:color w:val="1F3864"/>
                <w:sz w:val="22"/>
                <w:szCs w:val="22"/>
              </w:rPr>
              <w:t xml:space="preserve">Automated Template Instantiation</w:t>
            </w:r>
          </w:p>
          <w:p>
            <w:pPr>
              <w:spacing w:after="0"/>
            </w:pPr>
            <w:r>
              <w:rPr>
                <w:rFonts w:ascii="Calibri" w:cs="Calibri" w:eastAsia="Calibri" w:hAnsi="Calibri"/>
                <w:color w:val="262626"/>
                <w:sz w:val="20"/>
                <w:szCs w:val="20"/>
              </w:rPr>
              <w:t xml:space="preserve">Selecting a template triggers the instantiation engine, which automatically populates the work-pack with: the standard set of operations for that equipment/job type (with predecessor/successor logic already mapped), standard crew sizes and craft/discipline allocations, the applicable QA/QC hold points, and the quantity fields relevant to that job (inch-diameter of welds, square metres of surface, number of joints, etc.). The planner then fine-tunes durations, resources and material lines to the specific job — this is where GNFC-specific scope items such as job description, material list, manpower and duration estimates are finalised for each of the ~30 work-packs.</w:t>
            </w:r>
          </w:p>
        </w:tc>
      </w:tr>
    </w:tbl>
    <w:p>
      <w:pPr>
        <w:spacing w:after="1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120"/>
              <w:left w:type="dxa" w:w="80"/>
              <w:bottom w:type="dxa" w:w="120"/>
              <w:right w:type="dxa" w:w="80"/>
            </w:tcMar>
            <w:vAlign w:val="center"/>
          </w:tcPr>
          <w:p>
            <w:pPr>
              <w:jc w:val="center"/>
            </w:pPr>
            <w:r>
              <w:rPr>
                <w:rFonts w:ascii="Calibri" w:cs="Calibri" w:eastAsia="Calibri" w:hAnsi="Calibri"/>
                <w:b/>
                <w:bCs/>
                <w:color w:val="FFFFFF"/>
                <w:sz w:val="26"/>
                <w:szCs w:val="26"/>
              </w:rPr>
              <w:t xml:space="preserve">6</w:t>
            </w:r>
          </w:p>
        </w:tc>
        <w:tc>
          <w:tcPr>
            <w:tcW w:type="dxa" w:w="8450"/>
            <w:shd w:fill="DCE6F1" w:val="clear"/>
            <w:tcMar>
              <w:top w:type="dxa" w:w="120"/>
              <w:left w:type="dxa" w:w="180"/>
              <w:bottom w:type="dxa" w:w="120"/>
              <w:right w:type="dxa" w:w="180"/>
            </w:tcMar>
          </w:tcPr>
          <w:p>
            <w:pPr>
              <w:spacing w:after="60"/>
            </w:pPr>
            <w:r>
              <w:rPr>
                <w:rFonts w:ascii="Calibri" w:cs="Calibri" w:eastAsia="Calibri" w:hAnsi="Calibri"/>
                <w:b/>
                <w:bCs/>
                <w:color w:val="1F3864"/>
                <w:sz w:val="22"/>
                <w:szCs w:val="22"/>
              </w:rPr>
              <w:t xml:space="preserve">Attaching QA/QC Forms, Checklists &amp; Statutory Certificates</w:t>
            </w:r>
          </w:p>
          <w:p>
            <w:pPr>
              <w:spacing w:after="0"/>
            </w:pPr>
            <w:r>
              <w:rPr>
                <w:rFonts w:ascii="Calibri" w:cs="Calibri" w:eastAsia="Calibri" w:hAnsi="Calibri"/>
                <w:color w:val="262626"/>
                <w:sz w:val="20"/>
                <w:szCs w:val="20"/>
              </w:rPr>
              <w:t xml:space="preserve">The planner attaches the mandatory certificates the job requires — flange box-up and bolt-torquing clearance certificate, hydrostatic/pneumatic pressure test certificate, vessel box-up clearance checklist, and the blind installation/removal tracker. Each certificate is pre-formatted with the required multi-stage sign-off (Contractor Supervisor → Plant QC → Client Inspector), so the work-pack is quality-gate-ready the moment it is released for execution.</w:t>
            </w:r>
          </w:p>
        </w:tc>
      </w:tr>
    </w:tbl>
    <w:p>
      <w:pPr>
        <w:spacing w:after="200"/>
      </w:pPr>
    </w:p>
    <w:p>
      <w:pPr>
        <w:pStyle w:val="Heading1"/>
        <w:pBdr>
          <w:bottom w:val="single" w:color="2E5FA3" w:sz="8" w:space="4"/>
        </w:pBdr>
        <w:spacing w:after="200" w:before="400"/>
      </w:pPr>
      <w:r>
        <w:rPr>
          <w:rFonts w:ascii="Calibri" w:cs="Calibri" w:eastAsia="Calibri" w:hAnsi="Calibri"/>
          <w:b/>
          <w:bCs/>
          <w:color w:val="1F3864"/>
          <w:sz w:val="30"/>
          <w:szCs w:val="30"/>
        </w:rPr>
        <w:t xml:space="preserve">6. Deployment Team for GNFC TA 2027 — Work-Pack Engineering Core</w:t>
      </w:r>
    </w:p>
    <w:p>
      <w:pPr>
        <w:spacing w:after="160" w:line="276"/>
        <w:jc w:val="both"/>
      </w:pPr>
      <w:r>
        <w:rPr>
          <w:rFonts w:ascii="Calibri" w:cs="Calibri" w:eastAsia="Calibri" w:hAnsi="Calibri"/>
          <w:color w:val="262626"/>
          <w:sz w:val="21"/>
          <w:szCs w:val="21"/>
        </w:rPr>
        <w:t xml:space="preserve">Work-pack engineering for the GNFC Annual Shutdown 2027 will be delivered by a focused two-person core team, mobilizing from October 2026. This nucleus is dedicated specifically to requirement gathering, template/format finalization and work-pack development (Sections 6.1–6.3 below); it operates within — and is supplemented by — the broader manpower mobilization required under Annexure-I, Section 6 (minimum 2 SMEs plus 6 planning/scheduling personnel) as the assignment moves into the scheduling and TA execution phases.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50"/>
      </w:tblGrid>
      <w:t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Role</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Experience</w:t>
            </w:r>
          </w:p>
        </w:tc>
        <w:tc>
          <w:tcPr>
            <w:tcW w:type="dxa" w:w="53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Primary Responsibility</w:t>
            </w:r>
          </w:p>
        </w:tc>
      </w:tr>
      <w:tr>
        <w:tc>
          <w:tcPr>
            <w:tcW w:type="dxa" w:w="24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Execution Expert</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Min. 5 – 8 years</w:t>
            </w:r>
          </w:p>
        </w:tc>
        <w:tc>
          <w:tcPr>
            <w:tcW w:type="dxa" w:w="535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Brings hands-on plant turnaround/field execution experience — realistic isolation sequencing, known failure modes, practical repair scope, safety and permit considerations, and lessons from prior shutdowns of similar equipment — as direct input to every work-pack.</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Planner</w:t>
            </w:r>
          </w:p>
        </w:tc>
        <w:tc>
          <w:tcPr>
            <w:tcW w:type="dxa" w:w="16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Min. 5 years</w:t>
            </w:r>
          </w:p>
        </w:tc>
        <w:tc>
          <w:tcPr>
            <w:tcW w:type="dxa" w:w="53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Owns the SYORITY structured database — builds the equipment hierarchy, verifies drawing extraction, instantiates and fine-tunes work-pack templates, sets durations/resources/logic links, and develops the master CPM schedule.</w:t>
            </w:r>
          </w:p>
        </w:tc>
      </w:tr>
    </w:tbl>
    <w:p>
      <w:pPr>
        <w:spacing w:after="120"/>
      </w:pPr>
    </w:p>
    <w:p>
      <w:pPr>
        <w:pStyle w:val="Heading3"/>
        <w:spacing w:after="100" w:before="200"/>
      </w:pPr>
      <w:r>
        <w:rPr>
          <w:rFonts w:ascii="Calibri" w:cs="Calibri" w:eastAsia="Calibri" w:hAnsi="Calibri"/>
          <w:b/>
          <w:bCs/>
          <w:color w:val="1F3864"/>
          <w:sz w:val="21"/>
          <w:szCs w:val="21"/>
        </w:rPr>
        <w:t xml:space="preserve">How the two roles work together</w:t>
      </w:r>
    </w:p>
    <w:p>
      <w:pPr>
        <w:spacing w:after="160" w:line="276"/>
        <w:jc w:val="both"/>
      </w:pPr>
      <w:r>
        <w:rPr>
          <w:rFonts w:ascii="Calibri" w:cs="Calibri" w:eastAsia="Calibri" w:hAnsi="Calibri"/>
          <w:color w:val="262626"/>
          <w:sz w:val="21"/>
          <w:szCs w:val="21"/>
        </w:rPr>
        <w:t xml:space="preserve">The Execution Expert and Planner work as a paired unit on every work-pack, not as separate hand-off stages. For each piece of equipment, the Execution Expert reviews the drawing package and prior shutdown history and provides field-tested input — the real isolation points, the repair scope that experience shows is actually needed, achievable crew productivity, and practical sequencing constraints (crane access, confined-space entry, permit lead times). The Planner takes this input together with the AI-verified equipment data (Section 5, Steps 2–3) and develops it into the structured work-pack inside SYORITY: selecting the correct template, fine-tuning operations, durations and resources, and attaching the required QA/QC certificates.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120"/>
              <w:left w:type="dxa" w:w="80"/>
              <w:bottom w:type="dxa" w:w="120"/>
              <w:right w:type="dxa" w:w="80"/>
            </w:tcMar>
            <w:vAlign w:val="center"/>
          </w:tcPr>
          <w:p>
            <w:pPr>
              <w:jc w:val="center"/>
            </w:pPr>
            <w:r>
              <w:rPr>
                <w:rFonts w:ascii="Calibri" w:cs="Calibri" w:eastAsia="Calibri" w:hAnsi="Calibri"/>
                <w:b/>
                <w:bCs/>
                <w:color w:val="FFFFFF"/>
                <w:sz w:val="26"/>
                <w:szCs w:val="26"/>
              </w:rPr>
              <w:t xml:space="preserve">A</w:t>
            </w:r>
          </w:p>
        </w:tc>
        <w:tc>
          <w:tcPr>
            <w:tcW w:type="dxa" w:w="8450"/>
            <w:shd w:fill="DCE6F1" w:val="clear"/>
            <w:tcMar>
              <w:top w:type="dxa" w:w="120"/>
              <w:left w:type="dxa" w:w="180"/>
              <w:bottom w:type="dxa" w:w="120"/>
              <w:right w:type="dxa" w:w="180"/>
            </w:tcMar>
          </w:tcPr>
          <w:p>
            <w:pPr>
              <w:spacing w:after="60"/>
            </w:pPr>
            <w:r>
              <w:rPr>
                <w:rFonts w:ascii="Calibri" w:cs="Calibri" w:eastAsia="Calibri" w:hAnsi="Calibri"/>
                <w:b/>
                <w:bCs/>
                <w:color w:val="1F3864"/>
                <w:sz w:val="22"/>
                <w:szCs w:val="22"/>
              </w:rPr>
              <w:t xml:space="preserve">Execution Expert — Field Input</w:t>
            </w:r>
          </w:p>
          <w:p>
            <w:pPr>
              <w:spacing w:after="0"/>
            </w:pPr>
            <w:r>
              <w:rPr>
                <w:rFonts w:ascii="Calibri" w:cs="Calibri" w:eastAsia="Calibri" w:hAnsi="Calibri"/>
                <w:color w:val="262626"/>
                <w:sz w:val="20"/>
                <w:szCs w:val="20"/>
              </w:rPr>
              <w:t xml:space="preserve">Reviews equipment drawings, service history and prior TA findings; defines realistic scope, isolation approach, repair extent, crew composition and known risk points based on direct field experience.</w:t>
            </w:r>
          </w:p>
        </w:tc>
      </w:tr>
    </w:tbl>
    <w:p>
      <w:pPr>
        <w:spacing w:after="1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F3864" w:val="clear"/>
            <w:tcMar>
              <w:top w:type="dxa" w:w="120"/>
              <w:left w:type="dxa" w:w="80"/>
              <w:bottom w:type="dxa" w:w="120"/>
              <w:right w:type="dxa" w:w="80"/>
            </w:tcMar>
            <w:vAlign w:val="center"/>
          </w:tcPr>
          <w:p>
            <w:pPr>
              <w:jc w:val="center"/>
            </w:pPr>
            <w:r>
              <w:rPr>
                <w:rFonts w:ascii="Calibri" w:cs="Calibri" w:eastAsia="Calibri" w:hAnsi="Calibri"/>
                <w:b/>
                <w:bCs/>
                <w:color w:val="FFFFFF"/>
                <w:sz w:val="26"/>
                <w:szCs w:val="26"/>
              </w:rPr>
              <w:t xml:space="preserve">B</w:t>
            </w:r>
          </w:p>
        </w:tc>
        <w:tc>
          <w:tcPr>
            <w:tcW w:type="dxa" w:w="8450"/>
            <w:shd w:fill="DCE6F1" w:val="clear"/>
            <w:tcMar>
              <w:top w:type="dxa" w:w="120"/>
              <w:left w:type="dxa" w:w="180"/>
              <w:bottom w:type="dxa" w:w="120"/>
              <w:right w:type="dxa" w:w="180"/>
            </w:tcMar>
          </w:tcPr>
          <w:p>
            <w:pPr>
              <w:spacing w:after="60"/>
            </w:pPr>
            <w:r>
              <w:rPr>
                <w:rFonts w:ascii="Calibri" w:cs="Calibri" w:eastAsia="Calibri" w:hAnsi="Calibri"/>
                <w:b/>
                <w:bCs/>
                <w:color w:val="1F3864"/>
                <w:sz w:val="22"/>
                <w:szCs w:val="22"/>
              </w:rPr>
              <w:t xml:space="preserve">Planner — Work-Pack Development</w:t>
            </w:r>
          </w:p>
          <w:p>
            <w:pPr>
              <w:spacing w:after="0"/>
            </w:pPr>
            <w:r>
              <w:rPr>
                <w:rFonts w:ascii="Calibri" w:cs="Calibri" w:eastAsia="Calibri" w:hAnsi="Calibri"/>
                <w:color w:val="262626"/>
                <w:sz w:val="20"/>
                <w:szCs w:val="20"/>
              </w:rPr>
              <w:t xml:space="preserve">Converts the Execution Expert's input into a structured work-pack in SYORITY using the canonical templates (Section 8): sequences activities, assigns durations and resources, attaches certificates and hold points, and links the work-pack into the master schedule.</w:t>
            </w:r>
          </w:p>
        </w:tc>
      </w:tr>
    </w:tbl>
    <w:p>
      <w:pPr>
        <w:spacing w:after="200"/>
      </w:pPr>
    </w:p>
    <w:p>
      <w:pPr>
        <w:spacing w:after="160" w:line="276"/>
        <w:jc w:val="both"/>
      </w:pPr>
      <w:r>
        <w:rPr>
          <w:rFonts w:ascii="Calibri" w:cs="Calibri" w:eastAsia="Calibri" w:hAnsi="Calibri"/>
          <w:color w:val="262626"/>
          <w:sz w:val="21"/>
          <w:szCs w:val="21"/>
        </w:rPr>
        <w:t xml:space="preserve">This two-role model keeps engineering judgement (what needs to happen, and why) clearly separated from — but tightly coupled to — planning discipline (how it is sequenced, resourced and scheduled), which is what keeps a two-person core team able to engineer ~30 work-packs to a consistent, audit-ready standard within the programme timeline set out in Section 10.</w:t>
      </w:r>
    </w:p>
    <w:p>
      <w:pPr>
        <w:pStyle w:val="Heading1"/>
        <w:pBdr>
          <w:bottom w:val="single" w:color="2E5FA3" w:sz="8" w:space="4"/>
        </w:pBdr>
        <w:spacing w:after="200" w:before="400"/>
      </w:pPr>
      <w:r>
        <w:rPr>
          <w:rFonts w:ascii="Calibri" w:cs="Calibri" w:eastAsia="Calibri" w:hAnsi="Calibri"/>
          <w:b/>
          <w:bCs/>
          <w:color w:val="1F3864"/>
          <w:sz w:val="30"/>
          <w:szCs w:val="30"/>
        </w:rPr>
        <w:t xml:space="preserve">7. Anatomy of a SYORITY Work-Pack</w:t>
      </w:r>
    </w:p>
    <w:p>
      <w:pPr>
        <w:spacing w:after="160" w:line="276"/>
        <w:jc w:val="both"/>
      </w:pPr>
      <w:r>
        <w:rPr>
          <w:rFonts w:ascii="Calibri" w:cs="Calibri" w:eastAsia="Calibri" w:hAnsi="Calibri"/>
          <w:color w:val="262626"/>
          <w:sz w:val="21"/>
          <w:szCs w:val="21"/>
        </w:rPr>
        <w:t xml:space="preserve">Section 5 explained how a work-pack is generated; this section sets out exactly what is inside one once it is finished. Every work-pack produced for GNFC follows the same eleven-section structure below, so that regardless of equipment type or discipline, any engineer, inspector or auditor can find the same information in the same place. This structure is the output of the Month 2 “format and workflow finalization” activity in the programme timeline (Section 10) — Syority tailors the section layout, certificate formats and sign-off workflow to GNFC's document control requirements before work-pack development begins in Month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000"/>
      </w:tblGrid>
      <w:tr>
        <w:tc>
          <w:tcPr>
            <w:tcW w:type="dxa" w:w="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Sec.</w:t>
            </w:r>
          </w:p>
        </w:tc>
        <w:tc>
          <w:tcPr>
            <w:tcW w:type="dxa" w:w="2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Title</w:t>
            </w:r>
          </w:p>
        </w:tc>
        <w:tc>
          <w:tcPr>
            <w:tcW w:type="dxa" w:w="6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Content</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A</w:t>
            </w:r>
          </w:p>
        </w:tc>
        <w:tc>
          <w:tcPr>
            <w:tcW w:type="dxa" w:w="265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Cover Page</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Work order / notification reference, equipment tag, unit, job scope summary, planner and approval sign-off block.</w:t>
            </w:r>
          </w:p>
        </w:tc>
      </w:tr>
      <w:tr>
        <w:tc>
          <w:tcPr>
            <w:tcW w:type="dxa" w:w="700"/>
            <w:shd w:fill="F2F2F2"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B</w:t>
            </w:r>
          </w:p>
        </w:tc>
        <w:tc>
          <w:tcPr>
            <w:tcW w:type="dxa" w:w="265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Revision Page</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Revision history — revision number, date, description and planner for every change to the work-pack.</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C</w:t>
            </w:r>
          </w:p>
        </w:tc>
        <w:tc>
          <w:tcPr>
            <w:tcW w:type="dxa" w:w="265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Work-Pack Content</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Table of contents plus a full attachment index linking every certificate, drawing and procedure to its operation.</w:t>
            </w:r>
          </w:p>
        </w:tc>
      </w:tr>
      <w:tr>
        <w:tc>
          <w:tcPr>
            <w:tcW w:type="dxa" w:w="700"/>
            <w:shd w:fill="F2F2F2"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D</w:t>
            </w:r>
          </w:p>
        </w:tc>
        <w:tc>
          <w:tcPr>
            <w:tcW w:type="dxa" w:w="265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Scope Definition</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Equipment description and specifications, plus a free-text scope narrative confirming exactly what will be done.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E</w:t>
            </w:r>
          </w:p>
        </w:tc>
        <w:tc>
          <w:tcPr>
            <w:tcW w:type="dxa" w:w="265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Operations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core activity table — window, operation number, description, duration, predecessors, manpower and resources. This is the section exported to Primavera P6 / MS Project.</w:t>
            </w:r>
          </w:p>
        </w:tc>
      </w:tr>
      <w:tr>
        <w:tc>
          <w:tcPr>
            <w:tcW w:type="dxa" w:w="700"/>
            <w:shd w:fill="F2F2F2"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F</w:t>
            </w:r>
          </w:p>
        </w:tc>
        <w:tc>
          <w:tcPr>
            <w:tcW w:type="dxa" w:w="265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Division of Responsibility</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Client (GNFC) vs. Contractor (Syority) responsibility matrix for the job.</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G</w:t>
            </w:r>
          </w:p>
        </w:tc>
        <w:tc>
          <w:tcPr>
            <w:tcW w:type="dxa" w:w="265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Hold / Witness Points — Asset Integrity</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QA/QC gates requiring sign-off by the client's Asset Integrity / inspection function before work can proceed.</w:t>
            </w:r>
          </w:p>
        </w:tc>
      </w:tr>
      <w:tr>
        <w:tc>
          <w:tcPr>
            <w:tcW w:type="dxa" w:w="700"/>
            <w:shd w:fill="F2F2F2"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H</w:t>
            </w:r>
          </w:p>
        </w:tc>
        <w:tc>
          <w:tcPr>
            <w:tcW w:type="dxa" w:w="265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Hold / Witness Points — Technical Services</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QA/QC gates requiring sign-off by Technical Services / NDT inspection.</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I</w:t>
            </w:r>
          </w:p>
        </w:tc>
        <w:tc>
          <w:tcPr>
            <w:tcW w:type="dxa" w:w="265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Electrical Requirements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Power, lighting and electrical equipment needed to execute the job.</w:t>
            </w:r>
          </w:p>
        </w:tc>
      </w:tr>
      <w:tr>
        <w:tc>
          <w:tcPr>
            <w:tcW w:type="dxa" w:w="700"/>
            <w:shd w:fill="F2F2F2"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J</w:t>
            </w:r>
          </w:p>
        </w:tc>
        <w:tc>
          <w:tcPr>
            <w:tcW w:type="dxa" w:w="265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Consumables / Materials List</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Itemized material requirement — gaskets, bolts, spares, consumables — with quantities and approval blocks.</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K</w:t>
            </w:r>
          </w:p>
        </w:tc>
        <w:tc>
          <w:tcPr>
            <w:tcW w:type="dxa" w:w="265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Blind / Isolation Checklist</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Certification log confirming every mechanical isolation (blind, valve, vent, drain) has been installed and independently verified.</w:t>
            </w:r>
          </w:p>
        </w:tc>
      </w:tr>
    </w:tbl>
    <w:p>
      <w:pPr>
        <w:spacing w:after="120"/>
      </w:pPr>
    </w:p>
    <w:p>
      <w:pPr>
        <w:pStyle w:val="Heading3"/>
        <w:spacing w:after="100" w:before="200"/>
      </w:pPr>
      <w:r>
        <w:rPr>
          <w:rFonts w:ascii="Calibri" w:cs="Calibri" w:eastAsia="Calibri" w:hAnsi="Calibri"/>
          <w:b/>
          <w:bCs/>
          <w:color w:val="1F3864"/>
          <w:sz w:val="21"/>
          <w:szCs w:val="21"/>
        </w:rPr>
        <w:t xml:space="preserve">Hold Points vs. Witness Points</w:t>
      </w:r>
    </w:p>
    <w:p>
      <w:pPr>
        <w:spacing w:after="160" w:line="276"/>
        <w:jc w:val="both"/>
      </w:pPr>
      <w:r>
        <w:rPr>
          <w:rFonts w:ascii="Calibri" w:cs="Calibri" w:eastAsia="Calibri" w:hAnsi="Calibri"/>
          <w:color w:val="262626"/>
          <w:sz w:val="21"/>
          <w:szCs w:val="21"/>
        </w:rPr>
        <w:t xml:space="preserve">Sections G and H distinguish two categories of QA/QC gate, consistent with standard turnaround inspection practice: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3740"/>
        <w:gridCol w:w="3740"/>
      </w:tblGrid>
      <w:tr>
        <w:tc>
          <w:tcPr>
            <w:tcW w:type="dxa" w:w="1870"/>
            <w:shd w:fill="1F3864"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
            </w:r>
          </w:p>
        </w:tc>
        <w:tc>
          <w:tcPr>
            <w:tcW w:type="dxa" w:w="37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Hold Point</w:t>
            </w:r>
          </w:p>
        </w:tc>
        <w:tc>
          <w:tcPr>
            <w:tcW w:type="dxa" w:w="37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Witness Point</w:t>
            </w:r>
          </w:p>
        </w:tc>
      </w:tr>
      <w:tr>
        <w:tc>
          <w:tcPr>
            <w:tcW w:type="dxa" w:w="187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Definition</w:t>
            </w:r>
          </w:p>
        </w:tc>
        <w:tc>
          <w:tcPr>
            <w:tcW w:type="dxa" w:w="374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Work must stop until the designated inspector arrives, inspects and signs off.</w:t>
            </w:r>
          </w:p>
        </w:tc>
        <w:tc>
          <w:tcPr>
            <w:tcW w:type="dxa" w:w="374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Inspector should be present to observe, but work may proceed if the inspector is unavailable after due notice.</w:t>
            </w:r>
          </w:p>
        </w:tc>
      </w:tr>
      <w:tr>
        <w:tc>
          <w:tcPr>
            <w:tcW w:type="dxa" w:w="187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Implication</w:t>
            </w:r>
          </w:p>
        </w:tc>
        <w:tc>
          <w:tcPr>
            <w:tcW w:type="dxa" w:w="374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Mandatory gate — the downstream activity is logically blocked until cleared.</w:t>
            </w:r>
          </w:p>
        </w:tc>
        <w:tc>
          <w:tcPr>
            <w:tcW w:type="dxa" w:w="374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Advisory — must be documented, but does not block the schedule.</w:t>
            </w:r>
          </w:p>
        </w:tc>
      </w:tr>
      <w:tr>
        <w:tc>
          <w:tcPr>
            <w:tcW w:type="dxa" w:w="187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Typical examples</w:t>
            </w:r>
          </w:p>
        </w:tc>
        <w:tc>
          <w:tcPr>
            <w:tcW w:type="dxa" w:w="374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Pre-cleaning inspection, NDT/thickness survey, tube-sheet &amp; expansion inspection, DFT/holiday testing, box-up inspection.</w:t>
            </w:r>
          </w:p>
        </w:tc>
        <w:tc>
          <w:tcPr>
            <w:tcW w:type="dxa" w:w="374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Pneumatic test, hydrotest, water-fill/UV leak test.</w:t>
            </w:r>
          </w:p>
        </w:tc>
      </w:tr>
    </w:tbl>
    <w:p>
      <w:pPr>
        <w:spacing w:after="120"/>
      </w:pPr>
    </w:p>
    <w:p>
      <w:pPr>
        <w:pStyle w:val="Heading3"/>
        <w:spacing w:after="100" w:before="200"/>
      </w:pPr>
      <w:r>
        <w:rPr>
          <w:rFonts w:ascii="Calibri" w:cs="Calibri" w:eastAsia="Calibri" w:hAnsi="Calibri"/>
          <w:b/>
          <w:bCs/>
          <w:color w:val="1F3864"/>
          <w:sz w:val="21"/>
          <w:szCs w:val="21"/>
        </w:rPr>
        <w:t xml:space="preserve">Standard Attachment Groups</w:t>
      </w:r>
    </w:p>
    <w:p>
      <w:pPr>
        <w:pStyle w:val="ListParagraph"/>
        <w:numPr>
          <w:ilvl w:val="0"/>
          <w:numId w:val="2"/>
        </w:numPr>
        <w:spacing w:after="90"/>
      </w:pPr>
      <w:r>
        <w:rPr>
          <w:rFonts w:ascii="Calibri" w:cs="Calibri" w:eastAsia="Calibri" w:hAnsi="Calibri"/>
          <w:color w:val="262626"/>
          <w:sz w:val="21"/>
          <w:szCs w:val="21"/>
        </w:rPr>
        <w:t xml:space="preserve">Attachment 1 — Drawings &amp; Technical Information: marked-up P&amp;ID, detail drawings, piping isometrics, equipment data sheet.</w:t>
      </w:r>
    </w:p>
    <w:p>
      <w:pPr>
        <w:pStyle w:val="ListParagraph"/>
        <w:numPr>
          <w:ilvl w:val="0"/>
          <w:numId w:val="2"/>
        </w:numPr>
        <w:spacing w:after="90"/>
      </w:pPr>
      <w:r>
        <w:rPr>
          <w:rFonts w:ascii="Calibri" w:cs="Calibri" w:eastAsia="Calibri" w:hAnsi="Calibri"/>
          <w:color w:val="262626"/>
          <w:sz w:val="21"/>
          <w:szCs w:val="21"/>
        </w:rPr>
        <w:t xml:space="preserve">Attachment 2 — Formats &amp; Certificates: cleaning acceptance, scaffolding, box-up, flange-joint checklist, torquing/bolt-tensioning checklist, job completion certificate, lessons-learnt format.</w:t>
      </w:r>
    </w:p>
    <w:p>
      <w:pPr>
        <w:pStyle w:val="ListParagraph"/>
        <w:numPr>
          <w:ilvl w:val="0"/>
          <w:numId w:val="2"/>
        </w:numPr>
        <w:spacing w:after="90"/>
      </w:pPr>
      <w:r>
        <w:rPr>
          <w:rFonts w:ascii="Calibri" w:cs="Calibri" w:eastAsia="Calibri" w:hAnsi="Calibri"/>
          <w:color w:val="262626"/>
          <w:sz w:val="21"/>
          <w:szCs w:val="21"/>
        </w:rPr>
        <w:t xml:space="preserve">Attachment 3 — Plans &amp; Procedures: Level-IV planning schedule, Job Safety Analysis (JSA), standard maintenance procedure/checklist, inspection procedure, method statement, lifting plan (where applicable).</w:t>
      </w:r>
    </w:p>
    <w:p>
      <w:pPr>
        <w:spacing w:after="120"/>
      </w:pPr>
    </w:p>
    <w:p>
      <w:pPr>
        <w:pStyle w:val="Heading1"/>
        <w:pBdr>
          <w:bottom w:val="single" w:color="2E5FA3" w:sz="8" w:space="4"/>
        </w:pBdr>
        <w:spacing w:after="200" w:before="400"/>
      </w:pPr>
      <w:r>
        <w:rPr>
          <w:rFonts w:ascii="Calibri" w:cs="Calibri" w:eastAsia="Calibri" w:hAnsi="Calibri"/>
          <w:b/>
          <w:bCs/>
          <w:color w:val="1F3864"/>
          <w:sz w:val="30"/>
          <w:szCs w:val="30"/>
        </w:rPr>
        <w:t xml:space="preserve">8. The Canonical Activity Library — 102 Activities Across 14 Families</w:t>
      </w:r>
    </w:p>
    <w:p>
      <w:pPr>
        <w:spacing w:after="160" w:line="276"/>
        <w:jc w:val="both"/>
      </w:pPr>
      <w:r>
        <w:rPr>
          <w:rFonts w:ascii="Calibri" w:cs="Calibri" w:eastAsia="Calibri" w:hAnsi="Calibri"/>
          <w:color w:val="262626"/>
          <w:sz w:val="21"/>
          <w:szCs w:val="21"/>
        </w:rPr>
        <w:t xml:space="preserve">Every operation that can appear in a work-pack is drawn from a standardized library of 102 canonical activity codes, grouped into 14 activity families. This is what makes work-packs consistent and comparable across equipment, disciplines and shutdowns — the same activity always carries the same code, default discipline and default work-window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950"/>
        <w:gridCol w:w="2000"/>
      </w:tblGrid>
      <w:tr>
        <w:tc>
          <w:tcPr>
            <w:tcW w:type="dxa" w:w="21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Activity Family</w:t>
            </w:r>
          </w:p>
        </w:tc>
        <w:tc>
          <w:tcPr>
            <w:tcW w:type="dxa" w:w="1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Code</w:t>
            </w:r>
          </w:p>
        </w:tc>
        <w:tc>
          <w:tcPr>
            <w:tcW w:type="dxa" w:w="39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Representative Activities</w:t>
            </w:r>
          </w:p>
        </w:tc>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Work Category</w:t>
            </w:r>
          </w:p>
        </w:tc>
      </w:tr>
      <w:t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Preparation</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PREP</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Scaffolding, insulation removal, lighting</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Pre-Shutdown</w:t>
            </w:r>
          </w:p>
        </w:tc>
      </w:tr>
      <w:tr>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Isolation</w:t>
            </w:r>
          </w:p>
        </w:tc>
        <w:tc>
          <w:tcPr>
            <w:tcW w:type="dxa" w:w="13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ISO</w:t>
            </w:r>
          </w:p>
        </w:tc>
        <w:tc>
          <w:tcPr>
            <w:tcW w:type="dxa" w:w="3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Blind install, vent/drain, lock-out</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Shutdown Window</w:t>
            </w:r>
          </w:p>
        </w:tc>
      </w:tr>
      <w:t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Dismantling</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DISMANTLE</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Channel cover, shell cover, tube bundle removal</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Execution Window</w:t>
            </w:r>
          </w:p>
        </w:tc>
      </w:tr>
      <w:tr>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Cleaning</w:t>
            </w:r>
          </w:p>
        </w:tc>
        <w:tc>
          <w:tcPr>
            <w:tcW w:type="dxa" w:w="13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CLEAN</w:t>
            </w:r>
          </w:p>
        </w:tc>
        <w:tc>
          <w:tcPr>
            <w:tcW w:type="dxa" w:w="3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HP water jet, chemical clean, hydro-blast</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Execution Window</w:t>
            </w:r>
          </w:p>
        </w:tc>
      </w:tr>
      <w:t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Inspection</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INSP</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Visual internal, tube internal, shell thickness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Quality Gate</w:t>
            </w:r>
          </w:p>
        </w:tc>
      </w:tr>
      <w:tr>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Non-Destructive Testing</w:t>
            </w:r>
          </w:p>
        </w:tc>
        <w:tc>
          <w:tcPr>
            <w:tcW w:type="dxa" w:w="13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NDT</w:t>
            </w:r>
          </w:p>
        </w:tc>
        <w:tc>
          <w:tcPr>
            <w:tcW w:type="dxa" w:w="3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ECT, IRIS, MPI, UT gauging, PAUT</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Quality Gate</w:t>
            </w:r>
          </w:p>
        </w:tc>
      </w:tr>
      <w:t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Repair &amp; Maintenance</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REPAIR</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Tube plugging, weld overlay, facing</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Execution Window</w:t>
            </w:r>
          </w:p>
        </w:tc>
      </w:tr>
      <w:tr>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Surface Treatment</w:t>
            </w:r>
          </w:p>
        </w:tc>
        <w:tc>
          <w:tcPr>
            <w:tcW w:type="dxa" w:w="13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SURFACE</w:t>
            </w:r>
          </w:p>
        </w:tc>
        <w:tc>
          <w:tcPr>
            <w:tcW w:type="dxa" w:w="3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Blasting, primer coat, top coat</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Post-Execution</w:t>
            </w:r>
          </w:p>
        </w:tc>
      </w:tr>
      <w:t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Assembly &amp; Box-Up</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ASSY</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Bundle insert, shell cover, torquing</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Post-Execution</w:t>
            </w:r>
          </w:p>
        </w:tc>
      </w:tr>
      <w:tr>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Testing</w:t>
            </w:r>
          </w:p>
        </w:tc>
        <w:tc>
          <w:tcPr>
            <w:tcW w:type="dxa" w:w="13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TEST</w:t>
            </w:r>
          </w:p>
        </w:tc>
        <w:tc>
          <w:tcPr>
            <w:tcW w:type="dxa" w:w="3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Shell hydro, tube hydro, pneumatic test</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Quality Gate</w:t>
            </w:r>
          </w:p>
        </w:tc>
      </w:tr>
      <w:t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Quality Control</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QC</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Final box-up sign-off, punch clearance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Sign-off Gate</w:t>
            </w:r>
          </w:p>
        </w:tc>
      </w:tr>
      <w:tr>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Hold Points</w:t>
            </w:r>
          </w:p>
        </w:tc>
        <w:tc>
          <w:tcPr>
            <w:tcW w:type="dxa" w:w="13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HP</w:t>
            </w:r>
          </w:p>
        </w:tc>
        <w:tc>
          <w:tcPr>
            <w:tcW w:type="dxa" w:w="3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Statutory inspection, box-up clearance</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Statutory Hold</w:t>
            </w:r>
          </w:p>
        </w:tc>
      </w:tr>
      <w:t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Logistics &amp; Crane</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LOGISTICS</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Crane setup, bundle transport</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Services</w:t>
            </w:r>
          </w:p>
        </w:tc>
      </w:tr>
      <w:tr>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Administration</w:t>
            </w:r>
          </w:p>
        </w:tc>
        <w:tc>
          <w:tcPr>
            <w:tcW w:type="dxa" w:w="13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ADMIN</w:t>
            </w:r>
          </w:p>
        </w:tc>
        <w:tc>
          <w:tcPr>
            <w:tcW w:type="dxa" w:w="3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Permit to work, toolbox talk</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Overhead</w:t>
            </w:r>
          </w:p>
        </w:tc>
      </w:tr>
    </w:tbl>
    <w:p>
      <w:pPr>
        <w:spacing w:after="120"/>
      </w:pPr>
    </w:p>
    <w:p>
      <w:pPr>
        <w:spacing w:after="160" w:line="276"/>
        <w:jc w:val="both"/>
      </w:pPr>
      <w:r>
        <w:rPr>
          <w:rFonts w:ascii="Calibri" w:cs="Calibri" w:eastAsia="Calibri" w:hAnsi="Calibri"/>
          <w:color w:val="262626"/>
          <w:sz w:val="21"/>
          <w:szCs w:val="21"/>
        </w:rPr>
        <w:t xml:space="preserve">Each equipment-class template (e.g. HX-BUNDLE-INSP) draws its standard operations from this library — for a typical heat-exchanger bundle inspection template, around 47 standard operations are pre-populated with dependencies, and 13 QA/QC hold points are automatically designated.</w:t>
      </w:r>
    </w:p>
    <w:p>
      <w:pPr>
        <w:pStyle w:val="Heading1"/>
        <w:pBdr>
          <w:bottom w:val="single" w:color="2E5FA3" w:sz="8" w:space="4"/>
        </w:pBdr>
        <w:spacing w:after="200" w:before="400"/>
      </w:pPr>
      <w:r>
        <w:rPr>
          <w:rFonts w:ascii="Calibri" w:cs="Calibri" w:eastAsia="Calibri" w:hAnsi="Calibri"/>
          <w:b/>
          <w:bCs/>
          <w:color w:val="1F3864"/>
          <w:sz w:val="30"/>
          <w:szCs w:val="30"/>
        </w:rPr>
        <w:t xml:space="preserve">9. Mapping to GNFC's Annexure-I Work-Pack Requirements</w:t>
      </w:r>
    </w:p>
    <w:p>
      <w:pPr>
        <w:spacing w:after="160" w:line="276"/>
        <w:jc w:val="both"/>
      </w:pPr>
      <w:r>
        <w:rPr>
          <w:rFonts w:ascii="Calibri" w:cs="Calibri" w:eastAsia="Calibri" w:hAnsi="Calibri"/>
          <w:color w:val="262626"/>
          <w:sz w:val="21"/>
          <w:szCs w:val="21"/>
        </w:rPr>
        <w:t xml:space="preserve">Annexure-I (Scope of Work) lists the specific elements GNFC expects in each of the ~30 job-wise work-packs. The table below shows exactly where and how each element is produced within the SYORITY process described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Annexure-I Requirement</w:t>
            </w:r>
          </w:p>
        </w:tc>
        <w:tc>
          <w:tcPr>
            <w:tcW w:type="dxa" w:w="65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How SYORITY Generates It</w:t>
            </w:r>
          </w:p>
        </w:tc>
      </w:tr>
      <w:tr>
        <w:tc>
          <w:tcPr>
            <w:tcW w:type="dxa" w:w="28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Job scope definition</w:t>
            </w:r>
          </w:p>
        </w:tc>
        <w:tc>
          <w:tcPr>
            <w:tcW w:type="dxa" w:w="655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Captured at template instantiation and refined by the planner for each equipment; forms the header/description block of the work-pack.</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Equipment details</w:t>
            </w:r>
          </w:p>
        </w:tc>
        <w:tc>
          <w:tcPr>
            <w:tcW w:type="dxa" w:w="6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Populated from the verified Equipment Technical Record created in Step 3 (tag, service, design data, dimensions).</w:t>
            </w:r>
          </w:p>
        </w:tc>
      </w:tr>
      <w:tr>
        <w:tc>
          <w:tcPr>
            <w:tcW w:type="dxa" w:w="28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Nozzle list</w:t>
            </w:r>
          </w:p>
        </w:tc>
        <w:tc>
          <w:tcPr>
            <w:tcW w:type="dxa" w:w="655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Extracted by AI Vision from the P&amp;ID/GA drawing in Step 2 and verified by the planner in Step 3; stored against the equipment record.</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Manholes</w:t>
            </w:r>
          </w:p>
        </w:tc>
        <w:tc>
          <w:tcPr>
            <w:tcW w:type="dxa" w:w="6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Captured as part of equipment technical data during drawing verification (Step 3).</w:t>
            </w:r>
          </w:p>
        </w:tc>
      </w:tr>
      <w:tr>
        <w:tc>
          <w:tcPr>
            <w:tcW w:type="dxa" w:w="28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Gaskets</w:t>
            </w:r>
          </w:p>
        </w:tc>
        <w:tc>
          <w:tcPr>
            <w:tcW w:type="dxa" w:w="655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Gasket type, size and material verified by the planner in Step 3 and logged in the Joint Integrity Master Register.</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Thickness data</w:t>
            </w:r>
          </w:p>
        </w:tc>
        <w:tc>
          <w:tcPr>
            <w:tcW w:type="dxa" w:w="6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Recorded from drawing extraction and updated with field UT/thickness survey results during execution (Phase 4).</w:t>
            </w:r>
          </w:p>
        </w:tc>
      </w:tr>
      <w:tr>
        <w:tc>
          <w:tcPr>
            <w:tcW w:type="dxa" w:w="28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Isolation steps</w:t>
            </w:r>
          </w:p>
        </w:tc>
        <w:tc>
          <w:tcPr>
            <w:tcW w:type="dxa" w:w="655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Standard ISO-family activities (blind install, vent/drain, lock-out) auto-populated by the template instantiation engine (Step 5).</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Cleaning steps</w:t>
            </w:r>
          </w:p>
        </w:tc>
        <w:tc>
          <w:tcPr>
            <w:tcW w:type="dxa" w:w="6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Standard CLEAN-family activities auto-populated by template instantiation, tailored to the equipment's fouling/service history.</w:t>
            </w:r>
          </w:p>
        </w:tc>
      </w:tr>
      <w:tr>
        <w:tc>
          <w:tcPr>
            <w:tcW w:type="dxa" w:w="28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Inspection tasks</w:t>
            </w:r>
          </w:p>
        </w:tc>
        <w:tc>
          <w:tcPr>
            <w:tcW w:type="dxa" w:w="655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Standard INSP and NDT-family activities auto-populated, with the applicable hold points attached in Step 6.</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Repair plan</w:t>
            </w:r>
          </w:p>
        </w:tc>
        <w:tc>
          <w:tcPr>
            <w:tcW w:type="dxa" w:w="6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REPAIR-family activities selected and quantified by the planner based on the previous shutdown's findings and current inspection scope.</w:t>
            </w:r>
          </w:p>
        </w:tc>
      </w:tr>
      <w:tr>
        <w:tc>
          <w:tcPr>
            <w:tcW w:type="dxa" w:w="28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Material list</w:t>
            </w:r>
          </w:p>
        </w:tc>
        <w:tc>
          <w:tcPr>
            <w:tcW w:type="dxa" w:w="655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Compiled by the planner during template fine-tuning (Step 5) against the equipment's gasket, bolting and spares requirement.</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Manpower estimation</w:t>
            </w:r>
          </w:p>
        </w:tc>
        <w:tc>
          <w:tcPr>
            <w:tcW w:type="dxa" w:w="6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Standard crew size and craft allocation auto-assigned by the template, refined by the planner to job-specific conditions.</w:t>
            </w:r>
          </w:p>
        </w:tc>
      </w:tr>
      <w:tr>
        <w:tc>
          <w:tcPr>
            <w:tcW w:type="dxa" w:w="28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Duration estimation</w:t>
            </w:r>
          </w:p>
        </w:tc>
        <w:tc>
          <w:tcPr>
            <w:tcW w:type="dxa" w:w="655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Standard activity durations from the template, adjusted by the planner and validated against historical shutdown data.</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Logical sequencing &amp; dependencies</w:t>
            </w:r>
          </w:p>
        </w:tc>
        <w:tc>
          <w:tcPr>
            <w:tcW w:type="dxa" w:w="6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Predecessor/successor logic links are auto-mapped by the instantiation engine and feed directly into the CPM schedule (Phase 3).</w:t>
            </w:r>
          </w:p>
        </w:tc>
      </w:tr>
      <w:tr>
        <w:tc>
          <w:tcPr>
            <w:tcW w:type="dxa" w:w="28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Required resources &amp; constraints</w:t>
            </w:r>
          </w:p>
        </w:tc>
        <w:tc>
          <w:tcPr>
            <w:tcW w:type="dxa" w:w="655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Resource and constraint fields (crane, permits, material availability) are set during template fine-tuning and tracked through execution.</w:t>
            </w:r>
          </w:p>
        </w:tc>
      </w:tr>
    </w:tbl>
    <w:p>
      <w:pPr>
        <w:spacing w:after="120"/>
      </w:pPr>
    </w:p>
    <w:p>
      <w:pPr>
        <w:spacing w:after="160" w:line="276"/>
        <w:jc w:val="both"/>
      </w:pPr>
      <w:r>
        <w:rPr>
          <w:rFonts w:ascii="Calibri" w:cs="Calibri" w:eastAsia="Calibri" w:hAnsi="Calibri"/>
          <w:color w:val="262626"/>
          <w:sz w:val="21"/>
          <w:szCs w:val="21"/>
        </w:rPr>
        <w:t xml:space="preserve">All 30 work-packs are developed inside this structured database environment, ensuring full traceability, readiness tracking, and direct integration with the master TA schedule — as required under Annexure-I, Section 2 (Pre-Turnaround Phase).</w:t>
      </w:r>
    </w:p>
    <w:p>
      <w:pPr>
        <w:pStyle w:val="Heading1"/>
        <w:pBdr>
          <w:bottom w:val="single" w:color="2E5FA3" w:sz="8" w:space="4"/>
        </w:pBdr>
        <w:spacing w:after="200" w:before="400"/>
      </w:pPr>
      <w:r>
        <w:rPr>
          <w:rFonts w:ascii="Calibri" w:cs="Calibri" w:eastAsia="Calibri" w:hAnsi="Calibri"/>
          <w:b/>
          <w:bCs/>
          <w:color w:val="1F3864"/>
          <w:sz w:val="30"/>
          <w:szCs w:val="30"/>
        </w:rPr>
        <w:t xml:space="preserve">10. Programme Timeline — October 2026 to TA Closeout</w:t>
      </w:r>
    </w:p>
    <w:p>
      <w:pPr>
        <w:spacing w:after="160" w:line="276"/>
        <w:jc w:val="both"/>
      </w:pPr>
      <w:r>
        <w:rPr>
          <w:rFonts w:ascii="Calibri" w:cs="Calibri" w:eastAsia="Calibri" w:hAnsi="Calibri"/>
          <w:color w:val="262626"/>
          <w:sz w:val="21"/>
          <w:szCs w:val="21"/>
        </w:rPr>
        <w:t xml:space="preserve">The work-pack engineering programme runs on a 5–6 day work-week and is built around six monthly stages leading into the TA execution window, followed by a fixed 15-day closeout period. This gives GNFC's technical services team a clear, month-by-month view of what the two-person core team (Section 6) is doing at every stage, and when each deliverable becomes available.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50"/>
        <w:gridCol w:w="775"/>
        <w:gridCol w:w="775"/>
        <w:gridCol w:w="775"/>
        <w:gridCol w:w="775"/>
        <w:gridCol w:w="775"/>
        <w:gridCol w:w="775"/>
        <w:gridCol w:w="775"/>
        <w:gridCol w:w="775"/>
      </w:tblGrid>
      <w:tr>
        <w:tc>
          <w:tcPr>
            <w:tcW w:type="dxa" w:w="31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7"/>
                <w:szCs w:val="17"/>
              </w:rPr>
              <w:t xml:space="preserve">Activity</w:t>
            </w:r>
          </w:p>
        </w:tc>
        <w:tc>
          <w:tcPr>
            <w:tcW w:type="dxa" w:w="77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5"/>
                <w:szCs w:val="15"/>
              </w:rPr>
              <w:t xml:space="preserve">Oct'26</w:t>
            </w:r>
          </w:p>
        </w:tc>
        <w:tc>
          <w:tcPr>
            <w:tcW w:type="dxa" w:w="77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5"/>
                <w:szCs w:val="15"/>
              </w:rPr>
              <w:t xml:space="preserve">Nov'26</w:t>
            </w:r>
          </w:p>
        </w:tc>
        <w:tc>
          <w:tcPr>
            <w:tcW w:type="dxa" w:w="77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5"/>
                <w:szCs w:val="15"/>
              </w:rPr>
              <w:t xml:space="preserve">Dec'26</w:t>
            </w:r>
          </w:p>
        </w:tc>
        <w:tc>
          <w:tcPr>
            <w:tcW w:type="dxa" w:w="77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5"/>
                <w:szCs w:val="15"/>
              </w:rPr>
              <w:t xml:space="preserve">Jan'27</w:t>
            </w:r>
          </w:p>
        </w:tc>
        <w:tc>
          <w:tcPr>
            <w:tcW w:type="dxa" w:w="77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5"/>
                <w:szCs w:val="15"/>
              </w:rPr>
              <w:t xml:space="preserve">Feb'27</w:t>
            </w:r>
          </w:p>
        </w:tc>
        <w:tc>
          <w:tcPr>
            <w:tcW w:type="dxa" w:w="77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5"/>
                <w:szCs w:val="15"/>
              </w:rPr>
              <w:t xml:space="preserve">Mar'27</w:t>
            </w:r>
          </w:p>
        </w:tc>
        <w:tc>
          <w:tcPr>
            <w:tcW w:type="dxa" w:w="77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5"/>
                <w:szCs w:val="15"/>
              </w:rPr>
              <w:t xml:space="preserve">Apr'27</w:t>
            </w:r>
          </w:p>
        </w:tc>
        <w:tc>
          <w:tcPr>
            <w:tcW w:type="dxa" w:w="77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5"/>
                <w:szCs w:val="15"/>
              </w:rPr>
              <w:t xml:space="preserve">May'27</w:t>
            </w:r>
          </w:p>
        </w:tc>
      </w:tr>
      <w:tr>
        <w:tc>
          <w:tcPr>
            <w:tcW w:type="dxa" w:w="3150"/>
            <w:tcMar>
              <w:top w:type="dxa" w:w="80"/>
              <w:left w:type="dxa" w:w="100"/>
              <w:bottom w:type="dxa" w:w="80"/>
              <w:right w:type="dxa" w:w="100"/>
            </w:tcMar>
            <w:vAlign w:val="center"/>
          </w:tcPr>
          <w:p>
            <w:pPr>
              <w:jc w:val="left"/>
            </w:pPr>
            <w:r>
              <w:rPr>
                <w:rFonts w:ascii="Calibri" w:cs="Calibri" w:eastAsia="Calibri" w:hAnsi="Calibri"/>
                <w:b w:val="false"/>
                <w:bCs w:val="false"/>
                <w:color w:val="262626"/>
                <w:sz w:val="17"/>
                <w:szCs w:val="17"/>
              </w:rPr>
              <w:t xml:space="preserve">Requirement Gathering</w:t>
            </w:r>
          </w:p>
        </w:tc>
        <w:tc>
          <w:tcPr>
            <w:tcW w:type="dxa" w:w="775"/>
            <w:shd w:fill="BF8F00"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r>
      <w:tr>
        <w:tc>
          <w:tcPr>
            <w:tcW w:type="dxa" w:w="3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7"/>
                <w:szCs w:val="17"/>
              </w:rPr>
              <w:t xml:space="preserve">Format &amp; Attachment Workflow Finalization</w:t>
            </w:r>
          </w:p>
        </w:tc>
        <w:tc>
          <w:tcPr>
            <w:tcW w:type="dxa" w:w="775"/>
            <w:shd w:fill="FFFFFF" w:val="clear"/>
            <w:tcMar>
              <w:top w:type="dxa" w:w="60"/>
              <w:left w:type="dxa" w:w="40"/>
              <w:bottom w:type="dxa" w:w="60"/>
              <w:right w:type="dxa" w:w="40"/>
            </w:tcMar>
          </w:tcPr>
          <w:p/>
        </w:tc>
        <w:tc>
          <w:tcPr>
            <w:tcW w:type="dxa" w:w="775"/>
            <w:shd w:fill="BF8F00"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r>
      <w:tr>
        <w:tc>
          <w:tcPr>
            <w:tcW w:type="dxa" w:w="3150"/>
            <w:tcMar>
              <w:top w:type="dxa" w:w="80"/>
              <w:left w:type="dxa" w:w="100"/>
              <w:bottom w:type="dxa" w:w="80"/>
              <w:right w:type="dxa" w:w="100"/>
            </w:tcMar>
            <w:vAlign w:val="center"/>
          </w:tcPr>
          <w:p>
            <w:pPr>
              <w:jc w:val="left"/>
            </w:pPr>
            <w:r>
              <w:rPr>
                <w:rFonts w:ascii="Calibri" w:cs="Calibri" w:eastAsia="Calibri" w:hAnsi="Calibri"/>
                <w:b w:val="false"/>
                <w:bCs w:val="false"/>
                <w:color w:val="262626"/>
                <w:sz w:val="17"/>
                <w:szCs w:val="17"/>
              </w:rPr>
              <w:t xml:space="preserve">Work-Pack Development (~30 nos.)</w:t>
            </w: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BF8F00" w:val="clear"/>
            <w:tcMar>
              <w:top w:type="dxa" w:w="60"/>
              <w:left w:type="dxa" w:w="40"/>
              <w:bottom w:type="dxa" w:w="60"/>
              <w:right w:type="dxa" w:w="40"/>
            </w:tcMar>
          </w:tcPr>
          <w:p/>
        </w:tc>
        <w:tc>
          <w:tcPr>
            <w:tcW w:type="dxa" w:w="775"/>
            <w:shd w:fill="BF8F00" w:val="clear"/>
            <w:tcMar>
              <w:top w:type="dxa" w:w="60"/>
              <w:left w:type="dxa" w:w="40"/>
              <w:bottom w:type="dxa" w:w="60"/>
              <w:right w:type="dxa" w:w="40"/>
            </w:tcMar>
          </w:tcPr>
          <w:p/>
        </w:tc>
        <w:tc>
          <w:tcPr>
            <w:tcW w:type="dxa" w:w="775"/>
            <w:shd w:fill="BF8F00"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r>
      <w:tr>
        <w:tc>
          <w:tcPr>
            <w:tcW w:type="dxa" w:w="3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7"/>
                <w:szCs w:val="17"/>
              </w:rPr>
              <w:t xml:space="preserve">Scheduling / CPM Integration (baseline @ T-15)</w:t>
            </w: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BF8F00"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r>
      <w:tr>
        <w:tc>
          <w:tcPr>
            <w:tcW w:type="dxa" w:w="3150"/>
            <w:tcMar>
              <w:top w:type="dxa" w:w="80"/>
              <w:left w:type="dxa" w:w="100"/>
              <w:bottom w:type="dxa" w:w="80"/>
              <w:right w:type="dxa" w:w="100"/>
            </w:tcMar>
            <w:vAlign w:val="center"/>
          </w:tcPr>
          <w:p>
            <w:pPr>
              <w:jc w:val="left"/>
            </w:pPr>
            <w:r>
              <w:rPr>
                <w:rFonts w:ascii="Calibri" w:cs="Calibri" w:eastAsia="Calibri" w:hAnsi="Calibri"/>
                <w:b w:val="false"/>
                <w:bCs w:val="false"/>
                <w:color w:val="262626"/>
                <w:sz w:val="17"/>
                <w:szCs w:val="17"/>
              </w:rPr>
              <w:t xml:space="preserve">TA Execution Support (39 ± 5 days)</w:t>
            </w: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BF8F00" w:val="clear"/>
            <w:tcMar>
              <w:top w:type="dxa" w:w="60"/>
              <w:left w:type="dxa" w:w="40"/>
              <w:bottom w:type="dxa" w:w="60"/>
              <w:right w:type="dxa" w:w="40"/>
            </w:tcMar>
          </w:tcPr>
          <w:p/>
        </w:tc>
        <w:tc>
          <w:tcPr>
            <w:tcW w:type="dxa" w:w="775"/>
            <w:shd w:fill="BF8F00" w:val="clear"/>
            <w:tcMar>
              <w:top w:type="dxa" w:w="60"/>
              <w:left w:type="dxa" w:w="40"/>
              <w:bottom w:type="dxa" w:w="60"/>
              <w:right w:type="dxa" w:w="40"/>
            </w:tcMar>
          </w:tcPr>
          <w:p/>
        </w:tc>
      </w:tr>
      <w:tr>
        <w:tc>
          <w:tcPr>
            <w:tcW w:type="dxa" w:w="3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7"/>
                <w:szCs w:val="17"/>
              </w:rPr>
              <w:t xml:space="preserve">Closeout Report (15 days post-TA)</w:t>
            </w: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FFFFFF" w:val="clear"/>
            <w:tcMar>
              <w:top w:type="dxa" w:w="60"/>
              <w:left w:type="dxa" w:w="40"/>
              <w:bottom w:type="dxa" w:w="60"/>
              <w:right w:type="dxa" w:w="40"/>
            </w:tcMar>
          </w:tcPr>
          <w:p/>
        </w:tc>
        <w:tc>
          <w:tcPr>
            <w:tcW w:type="dxa" w:w="775"/>
            <w:shd w:fill="BF8F00" w:val="clear"/>
            <w:tcMar>
              <w:top w:type="dxa" w:w="60"/>
              <w:left w:type="dxa" w:w="40"/>
              <w:bottom w:type="dxa" w:w="60"/>
              <w:right w:type="dxa" w:w="40"/>
            </w:tcMar>
          </w:tcPr>
          <w:p/>
        </w:tc>
      </w:tr>
    </w:tbl>
    <w:p>
      <w:pPr>
        <w:spacing w:after="120"/>
      </w:pPr>
    </w:p>
    <w:p>
      <w:pPr>
        <w:pStyle w:val="Heading3"/>
        <w:spacing w:after="100" w:before="200"/>
      </w:pPr>
      <w:r>
        <w:rPr>
          <w:rFonts w:ascii="Calibri" w:cs="Calibri" w:eastAsia="Calibri" w:hAnsi="Calibri"/>
          <w:b/>
          <w:bCs/>
          <w:color w:val="1F3864"/>
          <w:sz w:val="21"/>
          <w:szCs w:val="21"/>
        </w:rPr>
        <w:t xml:space="preserve">Stage-by-Stage Detail</w:t>
      </w:r>
    </w:p>
    <w:p>
      <w:pPr>
        <w:pStyle w:val="ListParagraph"/>
        <w:numPr>
          <w:ilvl w:val="0"/>
          <w:numId w:val="3"/>
        </w:numPr>
        <w:spacing w:after="90"/>
      </w:pPr>
      <w:r>
        <w:rPr>
          <w:rFonts w:ascii="Calibri" w:cs="Calibri" w:eastAsia="Calibri" w:hAnsi="Calibri"/>
          <w:color w:val="262626"/>
          <w:sz w:val="21"/>
          <w:szCs w:val="21"/>
        </w:rPr>
        <w:t xml:space="preserve">Month 1 — Requirement Gathering (October 2026): Joint kick-off with GNFC technical services; finalization of the equipment list and job scope for the ~30 work-packs; collection of P&amp;IDs, GA drawings, nozzle schedules and historical shutdown data (in Excel, per GNFC's scope of work); confirmation of unit/plant hierarchy and document-control requirements.</w:t>
      </w:r>
    </w:p>
    <w:p>
      <w:pPr>
        <w:pStyle w:val="ListParagraph"/>
        <w:numPr>
          <w:ilvl w:val="0"/>
          <w:numId w:val="3"/>
        </w:numPr>
        <w:spacing w:after="90"/>
      </w:pPr>
      <w:r>
        <w:rPr>
          <w:rFonts w:ascii="Calibri" w:cs="Calibri" w:eastAsia="Calibri" w:hAnsi="Calibri"/>
          <w:color w:val="262626"/>
          <w:sz w:val="21"/>
          <w:szCs w:val="21"/>
        </w:rPr>
        <w:t xml:space="preserve">Month 2 — Format &amp; Attachment Workflow Finalization (November 2026): Syority finalizes the work-pack template layout (the 11-section structure in Section 7), the exact certificate and checklist formats for each attachment group, and the multi-stage sign-off workflow (Contractor Supervisor → Plant QC → Client Inspector) — aligned to GNFC's own document control and QA/QC conventions before any work-pack is built.</w:t>
      </w:r>
    </w:p>
    <w:p>
      <w:pPr>
        <w:pStyle w:val="ListParagraph"/>
        <w:numPr>
          <w:ilvl w:val="0"/>
          <w:numId w:val="3"/>
        </w:numPr>
        <w:spacing w:after="90"/>
      </w:pPr>
      <w:r>
        <w:rPr>
          <w:rFonts w:ascii="Calibri" w:cs="Calibri" w:eastAsia="Calibri" w:hAnsi="Calibri"/>
          <w:color w:val="262626"/>
          <w:sz w:val="21"/>
          <w:szCs w:val="21"/>
        </w:rPr>
        <w:t xml:space="preserve">Months 3–5 — Work-Pack Development (December 2026 – February 2027): The Execution Expert and Planner develop the ~30 job-wise work-packs using the process in Section 5 — drawing ingestion, planner verification, template instantiation, and field-experience input from the Execution Expert. Work-packs are released to GNFC for review on a rolling basis rather than all at the end of Month 5, so early feedback can be incorporated.</w:t>
      </w:r>
    </w:p>
    <w:p>
      <w:pPr>
        <w:pStyle w:val="ListParagraph"/>
        <w:numPr>
          <w:ilvl w:val="0"/>
          <w:numId w:val="3"/>
        </w:numPr>
        <w:spacing w:after="90"/>
      </w:pPr>
      <w:r>
        <w:rPr>
          <w:rFonts w:ascii="Calibri" w:cs="Calibri" w:eastAsia="Calibri" w:hAnsi="Calibri"/>
          <w:color w:val="262626"/>
          <w:sz w:val="21"/>
          <w:szCs w:val="21"/>
        </w:rPr>
        <w:t xml:space="preserve">Month 6 — Scheduling (March 2027): All ~30 work-packs are integrated into the master TA schedule in Primavera P6 / MS Project, logic links and resource loading are finalized, and the baseline schedule is reviewed with GNFC and frozen at T-15 days before TA start — i.e. approximately mid-to-late March 2027, ahead of the tentative first-week-of-April 2027 TA commencement.</w:t>
      </w:r>
    </w:p>
    <w:p>
      <w:pPr>
        <w:pStyle w:val="ListParagraph"/>
        <w:numPr>
          <w:ilvl w:val="0"/>
          <w:numId w:val="3"/>
        </w:numPr>
        <w:spacing w:after="90"/>
      </w:pPr>
      <w:r>
        <w:rPr>
          <w:rFonts w:ascii="Calibri" w:cs="Calibri" w:eastAsia="Calibri" w:hAnsi="Calibri"/>
          <w:color w:val="262626"/>
          <w:sz w:val="21"/>
          <w:szCs w:val="21"/>
        </w:rPr>
        <w:t xml:space="preserve">TA Execution (April 2027, 39 ± 5 days): Full-time on-site planning and scheduling support, daily progress tracking against the frozen baseline, and 1-day/3-day/7-day look-ahead schedules, per Annexure-I Section 3.</w:t>
      </w:r>
    </w:p>
    <w:p>
      <w:pPr>
        <w:pStyle w:val="ListParagraph"/>
        <w:numPr>
          <w:ilvl w:val="0"/>
          <w:numId w:val="3"/>
        </w:numPr>
        <w:spacing w:after="90"/>
      </w:pPr>
      <w:r>
        <w:rPr>
          <w:rFonts w:ascii="Calibri" w:cs="Calibri" w:eastAsia="Calibri" w:hAnsi="Calibri"/>
          <w:color w:val="262626"/>
          <w:sz w:val="21"/>
          <w:szCs w:val="21"/>
        </w:rPr>
        <w:t xml:space="preserve">Post-TA Closeout (15 days after mechanical completion): Final as-built schedule, TA completion report and the digital work-pack dossier (Section 13) are compiled and handed over within 15 days of TA completion.</w:t>
      </w:r>
    </w:p>
    <w:p>
      <w:pPr>
        <w:spacing w:after="120"/>
      </w:pPr>
    </w:p>
    <w:p>
      <w:pPr>
        <w:pStyle w:val="Heading1"/>
        <w:pBdr>
          <w:bottom w:val="single" w:color="2E5FA3" w:sz="8" w:space="4"/>
        </w:pBdr>
        <w:spacing w:after="200" w:before="400"/>
      </w:pPr>
      <w:r>
        <w:rPr>
          <w:rFonts w:ascii="Calibri" w:cs="Calibri" w:eastAsia="Calibri" w:hAnsi="Calibri"/>
          <w:b/>
          <w:bCs/>
          <w:color w:val="1F3864"/>
          <w:sz w:val="30"/>
          <w:szCs w:val="30"/>
        </w:rPr>
        <w:t xml:space="preserve">11. From Work-Pack to Master Schedule</w:t>
      </w:r>
    </w:p>
    <w:p>
      <w:pPr>
        <w:spacing w:after="160" w:line="276"/>
        <w:jc w:val="both"/>
      </w:pPr>
      <w:r>
        <w:rPr>
          <w:rFonts w:ascii="Calibri" w:cs="Calibri" w:eastAsia="Calibri" w:hAnsi="Calibri"/>
          <w:color w:val="262626"/>
          <w:sz w:val="21"/>
          <w:szCs w:val="21"/>
        </w:rPr>
        <w:t xml:space="preserve">Once a work-pack's activities, durations, sequencing and resources are finalized, it feeds directly into the master integrated TA schedule. SYORITY runs a native forward/backward-pass Critical Path Method (CPM) engine, so every work-pack's activities are automatically linked into the plant-wide network, critical-path status is calculated in real time, and float is visible at both the activity and work-pack level.</w:t>
      </w:r>
    </w:p>
    <w:p>
      <w:pPr>
        <w:spacing w:after="160" w:line="276"/>
        <w:jc w:val="both"/>
      </w:pPr>
      <w:r>
        <w:rPr>
          <w:rFonts w:ascii="Calibri" w:cs="Calibri" w:eastAsia="Calibri" w:hAnsi="Calibri"/>
          <w:color w:val="262626"/>
          <w:sz w:val="21"/>
          <w:szCs w:val="21"/>
        </w:rPr>
        <w:t xml:space="preserve">The consolidated schedule is exportable in Primavera P6 (XER and XML) and MS Project (XML) formats — including full WBS hierarchy, task predecessor/lag logic, and SYORITY's custom activity-code UDF — for direct use in GNFC's own project systems, exactly as called for in Annexure-I.</w:t>
      </w:r>
    </w:p>
    <w:p>
      <w:pPr>
        <w:pStyle w:val="Heading1"/>
        <w:pBdr>
          <w:bottom w:val="single" w:color="2E5FA3" w:sz="8" w:space="4"/>
        </w:pBdr>
        <w:spacing w:after="200" w:before="400"/>
      </w:pPr>
      <w:r>
        <w:rPr>
          <w:rFonts w:ascii="Calibri" w:cs="Calibri" w:eastAsia="Calibri" w:hAnsi="Calibri"/>
          <w:b/>
          <w:bCs/>
          <w:color w:val="1F3864"/>
          <w:sz w:val="30"/>
          <w:szCs w:val="30"/>
        </w:rPr>
        <w:t xml:space="preserve">12. Effort &amp; Productivity Benchmarks</w:t>
      </w:r>
    </w:p>
    <w:p>
      <w:pPr>
        <w:spacing w:after="160" w:line="276"/>
        <w:jc w:val="both"/>
      </w:pPr>
      <w:r>
        <w:rPr>
          <w:rFonts w:ascii="Calibri" w:cs="Calibri" w:eastAsia="Calibri" w:hAnsi="Calibri"/>
          <w:color w:val="262626"/>
          <w:sz w:val="21"/>
          <w:szCs w:val="21"/>
        </w:rPr>
        <w:t xml:space="preserve">Because each work-pack is built from a standardized template rather than typed from a blank page, the engineering effort per work-pack falls sharply compared with a manual/Excel-based approach — while the level of technical detail actually increases.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37"/>
        <w:gridCol w:w="2338"/>
      </w:tblGrid>
      <w:tr>
        <w:tc>
          <w:tcPr>
            <w:tcW w:type="dxa" w:w="4675"/>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Activity</w:t>
            </w:r>
          </w:p>
        </w:tc>
        <w:tc>
          <w:tcPr>
            <w:tcW w:type="dxa" w:w="233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Manual / Excel</w:t>
            </w:r>
          </w:p>
        </w:tc>
        <w:tc>
          <w:tcPr>
            <w:tcW w:type="dxa" w:w="2338"/>
            <w:shd w:fill="BF8F0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SYORITY Process</w:t>
            </w:r>
          </w:p>
        </w:tc>
      </w:tr>
      <w:tr>
        <w:tc>
          <w:tcPr>
            <w:tcW w:type="dxa" w:w="4675"/>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Work-pack assembly (per work-pack)</w:t>
            </w:r>
          </w:p>
        </w:tc>
        <w:tc>
          <w:tcPr>
            <w:tcW w:type="dxa" w:w="2337"/>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8 – 14 days</w:t>
            </w:r>
          </w:p>
        </w:tc>
        <w:tc>
          <w:tcPr>
            <w:tcW w:type="dxa" w:w="2338"/>
            <w:tcMar>
              <w:top w:type="dxa" w:w="80"/>
              <w:left w:type="dxa" w:w="100"/>
              <w:bottom w:type="dxa" w:w="80"/>
              <w:right w:type="dxa" w:w="100"/>
            </w:tcMar>
            <w:vAlign w:val="center"/>
          </w:tcPr>
          <w:p>
            <w:pPr>
              <w:jc w:val="center"/>
            </w:pPr>
            <w:r>
              <w:rPr>
                <w:rFonts w:ascii="Calibri" w:cs="Calibri" w:eastAsia="Calibri" w:hAnsi="Calibri"/>
                <w:b/>
                <w:bCs/>
                <w:color w:val="1F7A3D"/>
                <w:sz w:val="19"/>
                <w:szCs w:val="19"/>
              </w:rPr>
              <w:t xml:space="preserve">10 – 16 hours</w:t>
            </w:r>
          </w:p>
        </w:tc>
      </w:tr>
      <w:tr>
        <w:tc>
          <w:tcPr>
            <w:tcW w:type="dxa" w:w="4675"/>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Drawing data extraction</w:t>
            </w:r>
          </w:p>
        </w:tc>
        <w:tc>
          <w:tcPr>
            <w:tcW w:type="dxa" w:w="2337"/>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 hours manual typing</w:t>
            </w:r>
          </w:p>
        </w:tc>
        <w:tc>
          <w:tcPr>
            <w:tcW w:type="dxa" w:w="2338"/>
            <w:tcMar>
              <w:top w:type="dxa" w:w="80"/>
              <w:left w:type="dxa" w:w="100"/>
              <w:bottom w:type="dxa" w:w="80"/>
              <w:right w:type="dxa" w:w="100"/>
            </w:tcMar>
            <w:vAlign w:val="center"/>
          </w:tcPr>
          <w:p>
            <w:pPr>
              <w:jc w:val="center"/>
            </w:pPr>
            <w:r>
              <w:rPr>
                <w:rFonts w:ascii="Calibri" w:cs="Calibri" w:eastAsia="Calibri" w:hAnsi="Calibri"/>
                <w:b/>
                <w:bCs/>
                <w:color w:val="1F7A3D"/>
                <w:sz w:val="19"/>
                <w:szCs w:val="19"/>
              </w:rPr>
              <w:t xml:space="preserve">~2 minutes AI scan + planner review</w:t>
            </w:r>
          </w:p>
        </w:tc>
      </w:tr>
      <w:tr>
        <w:tc>
          <w:tcPr>
            <w:tcW w:type="dxa" w:w="4675"/>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Quality hold-point bypasses</w:t>
            </w:r>
          </w:p>
        </w:tc>
        <w:tc>
          <w:tcPr>
            <w:tcW w:type="dxa" w:w="2337"/>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5% – 8% missed in field</w:t>
            </w:r>
          </w:p>
        </w:tc>
        <w:tc>
          <w:tcPr>
            <w:tcW w:type="dxa" w:w="2338"/>
            <w:tcMar>
              <w:top w:type="dxa" w:w="80"/>
              <w:left w:type="dxa" w:w="100"/>
              <w:bottom w:type="dxa" w:w="80"/>
              <w:right w:type="dxa" w:w="100"/>
            </w:tcMar>
            <w:vAlign w:val="center"/>
          </w:tcPr>
          <w:p>
            <w:pPr>
              <w:jc w:val="center"/>
            </w:pPr>
            <w:r>
              <w:rPr>
                <w:rFonts w:ascii="Calibri" w:cs="Calibri" w:eastAsia="Calibri" w:hAnsi="Calibri"/>
                <w:b/>
                <w:bCs/>
                <w:color w:val="1F7A3D"/>
                <w:sz w:val="19"/>
                <w:szCs w:val="19"/>
              </w:rPr>
              <w:t xml:space="preserve">0% — system-enforced logic lock</w:t>
            </w:r>
          </w:p>
        </w:tc>
      </w:tr>
      <w:tr>
        <w:tc>
          <w:tcPr>
            <w:tcW w:type="dxa" w:w="4675"/>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DPR / progress compilation</w:t>
            </w:r>
          </w:p>
        </w:tc>
        <w:tc>
          <w:tcPr>
            <w:tcW w:type="dxa" w:w="2337"/>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3 – 4 hours every evening</w:t>
            </w:r>
          </w:p>
        </w:tc>
        <w:tc>
          <w:tcPr>
            <w:tcW w:type="dxa" w:w="2338"/>
            <w:tcMar>
              <w:top w:type="dxa" w:w="80"/>
              <w:left w:type="dxa" w:w="100"/>
              <w:bottom w:type="dxa" w:w="80"/>
              <w:right w:type="dxa" w:w="100"/>
            </w:tcMar>
            <w:vAlign w:val="center"/>
          </w:tcPr>
          <w:p>
            <w:pPr>
              <w:jc w:val="center"/>
            </w:pPr>
            <w:r>
              <w:rPr>
                <w:rFonts w:ascii="Calibri" w:cs="Calibri" w:eastAsia="Calibri" w:hAnsi="Calibri"/>
                <w:b/>
                <w:bCs/>
                <w:color w:val="1F7A3D"/>
                <w:sz w:val="19"/>
                <w:szCs w:val="19"/>
              </w:rPr>
              <w:t xml:space="preserve">1-click automated DPR</w:t>
            </w:r>
          </w:p>
        </w:tc>
      </w:tr>
    </w:tbl>
    <w:p>
      <w:pPr>
        <w:spacing w:after="120"/>
      </w:pPr>
    </w:p>
    <w:p>
      <w:pPr>
        <w:spacing w:after="160" w:line="276"/>
        <w:jc w:val="both"/>
      </w:pPr>
      <w:r>
        <w:rPr>
          <w:rFonts w:ascii="Calibri" w:cs="Calibri" w:eastAsia="Calibri" w:hAnsi="Calibri"/>
          <w:color w:val="262626"/>
          <w:sz w:val="21"/>
          <w:szCs w:val="21"/>
        </w:rPr>
        <w:t xml:space="preserve">For GNFC's scope of ~30 job-wise work-packs, at 10–16 engineering hours per work-pack this is well within the capacity of the two-person core team (Section 6) across the three-month Work-Pack Development window (Months 3–5, December 2026 – February 2027) set out in the programme timeline — comfortably within the Pre-Turnaround phase (October 2026 to TA start).</w:t>
      </w:r>
    </w:p>
    <w:p>
      <w:pPr>
        <w:pStyle w:val="Heading1"/>
        <w:pBdr>
          <w:bottom w:val="single" w:color="2E5FA3" w:sz="8" w:space="4"/>
        </w:pBdr>
        <w:spacing w:after="200" w:before="400"/>
      </w:pPr>
      <w:r>
        <w:rPr>
          <w:rFonts w:ascii="Calibri" w:cs="Calibri" w:eastAsia="Calibri" w:hAnsi="Calibri"/>
          <w:b/>
          <w:bCs/>
          <w:color w:val="1F3864"/>
          <w:sz w:val="30"/>
          <w:szCs w:val="30"/>
        </w:rPr>
        <w:t xml:space="preserve">13. Resulting Deliverables for GNFC TA 2027</w:t>
      </w:r>
    </w:p>
    <w:p>
      <w:pPr>
        <w:pStyle w:val="ListParagraph"/>
        <w:numPr>
          <w:ilvl w:val="0"/>
          <w:numId w:val="2"/>
        </w:numPr>
        <w:spacing w:after="90"/>
      </w:pPr>
      <w:r>
        <w:rPr>
          <w:rFonts w:ascii="Calibri" w:cs="Calibri" w:eastAsia="Calibri" w:hAnsi="Calibri"/>
          <w:color w:val="262626"/>
          <w:sz w:val="21"/>
          <w:szCs w:val="21"/>
        </w:rPr>
        <w:t xml:space="preserve">Detailed job-wise work-packs (approx. 30 nos.), each covering job scope, equipment details, nozzle list, manholes, gaskets, thickness data, isolation steps, cleaning steps, inspection tasks, repair plan, material list, manpower and duration estimation, and logical sequencing.</w:t>
      </w:r>
    </w:p>
    <w:p>
      <w:pPr>
        <w:pStyle w:val="ListParagraph"/>
        <w:numPr>
          <w:ilvl w:val="0"/>
          <w:numId w:val="2"/>
        </w:numPr>
        <w:spacing w:after="90"/>
      </w:pPr>
      <w:r>
        <w:rPr>
          <w:rFonts w:ascii="Calibri" w:cs="Calibri" w:eastAsia="Calibri" w:hAnsi="Calibri"/>
          <w:color w:val="262626"/>
          <w:sz w:val="21"/>
          <w:szCs w:val="21"/>
        </w:rPr>
        <w:t xml:space="preserve">Integrated master TA schedule in Primavera P6 / MS Project format, with all work-packs linked and critical path identified.</w:t>
      </w:r>
    </w:p>
    <w:p>
      <w:pPr>
        <w:pStyle w:val="ListParagraph"/>
        <w:numPr>
          <w:ilvl w:val="0"/>
          <w:numId w:val="2"/>
        </w:numPr>
        <w:spacing w:after="90"/>
      </w:pPr>
      <w:r>
        <w:rPr>
          <w:rFonts w:ascii="Calibri" w:cs="Calibri" w:eastAsia="Calibri" w:hAnsi="Calibri"/>
          <w:color w:val="262626"/>
          <w:sz w:val="21"/>
          <w:szCs w:val="21"/>
        </w:rPr>
        <w:t xml:space="preserve">Baseline and periodically updated schedules through the Pre-TA and execution phases.</w:t>
      </w:r>
    </w:p>
    <w:p>
      <w:pPr>
        <w:pStyle w:val="ListParagraph"/>
        <w:numPr>
          <w:ilvl w:val="0"/>
          <w:numId w:val="2"/>
        </w:numPr>
        <w:spacing w:after="90"/>
      </w:pPr>
      <w:r>
        <w:rPr>
          <w:rFonts w:ascii="Calibri" w:cs="Calibri" w:eastAsia="Calibri" w:hAnsi="Calibri"/>
          <w:color w:val="262626"/>
          <w:sz w:val="21"/>
          <w:szCs w:val="21"/>
        </w:rPr>
        <w:t xml:space="preserve">Daily and weekly progress reports, and 1-day/3-day/7-day look-ahead schedules during the 39-day execution window.</w:t>
      </w:r>
    </w:p>
    <w:p>
      <w:pPr>
        <w:pStyle w:val="ListParagraph"/>
        <w:numPr>
          <w:ilvl w:val="0"/>
          <w:numId w:val="2"/>
        </w:numPr>
        <w:spacing w:after="90"/>
      </w:pPr>
      <w:r>
        <w:rPr>
          <w:rFonts w:ascii="Calibri" w:cs="Calibri" w:eastAsia="Calibri" w:hAnsi="Calibri"/>
          <w:color w:val="262626"/>
          <w:sz w:val="21"/>
          <w:szCs w:val="21"/>
        </w:rPr>
        <w:t xml:space="preserve">Final as-built schedule and TA close-out report, including the digital work-pack dossier.</w:t>
      </w:r>
    </w:p>
    <w:p>
      <w:pPr>
        <w:pStyle w:val="ListParagraph"/>
        <w:numPr>
          <w:ilvl w:val="0"/>
          <w:numId w:val="2"/>
        </w:numPr>
        <w:spacing w:after="90"/>
      </w:pPr>
      <w:r>
        <w:rPr>
          <w:rFonts w:ascii="Calibri" w:cs="Calibri" w:eastAsia="Calibri" w:hAnsi="Calibri"/>
          <w:color w:val="262626"/>
          <w:sz w:val="21"/>
          <w:szCs w:val="21"/>
        </w:rPr>
        <w:t xml:space="preserve">Continued software access for a minimum of 5 years, per Annexure-I, including 3 years of secure online access to as-built work-pack records for future shutdown baselining.</w:t>
      </w:r>
    </w:p>
    <w:p>
      <w:pPr>
        <w:spacing w:after="120"/>
      </w:pPr>
    </w:p>
    <w:p>
      <w:pPr>
        <w:pStyle w:val="Heading1"/>
        <w:pBdr>
          <w:bottom w:val="single" w:color="2E5FA3" w:sz="8" w:space="4"/>
        </w:pBdr>
        <w:spacing w:after="200" w:before="400"/>
      </w:pPr>
      <w:r>
        <w:rPr>
          <w:rFonts w:ascii="Calibri" w:cs="Calibri" w:eastAsia="Calibri" w:hAnsi="Calibri"/>
          <w:b/>
          <w:bCs/>
          <w:color w:val="1F3864"/>
          <w:sz w:val="30"/>
          <w:szCs w:val="30"/>
        </w:rPr>
        <w:t xml:space="preserve">14. Demonstrated Track Record</w:t>
      </w:r>
    </w:p>
    <w:p>
      <w:pPr>
        <w:spacing w:after="160" w:line="276"/>
        <w:jc w:val="both"/>
      </w:pPr>
      <w:r>
        <w:rPr>
          <w:rFonts w:ascii="Calibri" w:cs="Calibri" w:eastAsia="Calibri" w:hAnsi="Calibri"/>
          <w:color w:val="262626"/>
          <w:sz w:val="21"/>
          <w:szCs w:val="21"/>
        </w:rPr>
        <w:t xml:space="preserve">This methodology is not new for GNFC's assignment — it is the same structured process Syority's planning team has applied on prior turnaround engagements. On a comparable FCC Unit turnaround for a major Indian refinery, the team engineered over 300 job-wise work-packs across 21 equipment categories using this exact template-and-verification approach — ranging from simple 4–8 operation valve work-packs through to complex 40–80+ operation reactor and column work-packs, each carrying its own hold points, witness points and certificate 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Metric</w:t>
            </w:r>
          </w:p>
        </w:tc>
        <w:tc>
          <w:tcPr>
            <w:tcW w:type="dxa" w:w="31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 FCC Unit Turnaround</w:t>
            </w:r>
          </w:p>
        </w:tc>
        <w:tc>
          <w:tcPr>
            <w:tcW w:type="dxa" w:w="3116"/>
            <w:shd w:fill="BF8F0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GNFC Annual Shutdown 2027</w:t>
            </w:r>
          </w:p>
        </w:tc>
      </w:tr>
      <w:tr>
        <w:tc>
          <w:tcPr>
            <w:tcW w:type="dxa" w:w="3117"/>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Work-packs engineered</w:t>
            </w:r>
          </w:p>
        </w:tc>
        <w:tc>
          <w:tcPr>
            <w:tcW w:type="dxa" w:w="3117"/>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300+</w:t>
            </w:r>
          </w:p>
        </w:tc>
        <w:tc>
          <w:tcPr>
            <w:tcW w:type="dxa" w:w="3116"/>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~30</w:t>
            </w:r>
          </w:p>
        </w:tc>
      </w:tr>
      <w:tr>
        <w:tc>
          <w:tcPr>
            <w:tcW w:type="dxa" w:w="3117"/>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Equipment categories covered</w:t>
            </w:r>
          </w:p>
        </w:tc>
        <w:tc>
          <w:tcPr>
            <w:tcW w:type="dxa" w:w="3117"/>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21</w:t>
            </w:r>
          </w:p>
        </w:tc>
        <w:tc>
          <w:tcPr>
            <w:tcW w:type="dxa" w:w="3116"/>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As per Annexure-I equipment list</w:t>
            </w:r>
          </w:p>
        </w:tc>
      </w:tr>
      <w:tr>
        <w:tc>
          <w:tcPr>
            <w:tcW w:type="dxa" w:w="3117"/>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Work-pack template structure</w:t>
            </w:r>
          </w:p>
        </w:tc>
        <w:tc>
          <w:tcPr>
            <w:tcW w:type="dxa" w:w="3117"/>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11-section standard (Section 7)</w:t>
            </w:r>
          </w:p>
        </w:tc>
        <w:tc>
          <w:tcPr>
            <w:tcW w:type="dxa" w:w="3116"/>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Same standard, tailored to GNFC formats</w:t>
            </w:r>
          </w:p>
        </w:tc>
      </w:tr>
      <w:tr>
        <w:tc>
          <w:tcPr>
            <w:tcW w:type="dxa" w:w="3117"/>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Complexity range</w:t>
            </w:r>
          </w:p>
        </w:tc>
        <w:tc>
          <w:tcPr>
            <w:tcW w:type="dxa" w:w="3117"/>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 to 80+ operations per work-pack</w:t>
            </w:r>
          </w:p>
        </w:tc>
        <w:tc>
          <w:tcPr>
            <w:tcW w:type="dxa" w:w="3116"/>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Scaled to GNFC's critical-path job list</w:t>
            </w:r>
          </w:p>
        </w:tc>
      </w:tr>
    </w:tbl>
    <w:p>
      <w:pPr>
        <w:spacing w:after="120"/>
      </w:pPr>
    </w:p>
    <w:p>
      <w:pPr>
        <w:spacing w:after="160" w:line="276"/>
        <w:jc w:val="both"/>
      </w:pPr>
      <w:r>
        <w:rPr>
          <w:rFonts w:ascii="Calibri" w:cs="Calibri" w:eastAsia="Calibri" w:hAnsi="Calibri"/>
          <w:color w:val="262626"/>
          <w:sz w:val="21"/>
          <w:szCs w:val="21"/>
        </w:rPr>
        <w:t xml:space="preserve">This gives GNFC confidence that the six-month build programme in Section 10 is grounded in demonstrated delivery capacity, not a first-time methodology.</w:t>
      </w:r>
    </w:p>
    <w:p>
      <w:pPr>
        <w:pStyle w:val="Heading1"/>
        <w:pBdr>
          <w:bottom w:val="single" w:color="2E5FA3" w:sz="8" w:space="4"/>
        </w:pBdr>
        <w:spacing w:after="200" w:before="400"/>
      </w:pPr>
      <w:r>
        <w:rPr>
          <w:rFonts w:ascii="Calibri" w:cs="Calibri" w:eastAsia="Calibri" w:hAnsi="Calibri"/>
          <w:b/>
          <w:bCs/>
          <w:color w:val="1F3864"/>
          <w:sz w:val="30"/>
          <w:szCs w:val="30"/>
        </w:rPr>
        <w:t xml:space="preserve">15. Conclusion</w:t>
      </w:r>
    </w:p>
    <w:p>
      <w:pPr>
        <w:spacing w:after="160" w:line="276"/>
        <w:jc w:val="both"/>
      </w:pPr>
      <w:r>
        <w:rPr>
          <w:rFonts w:ascii="Calibri" w:cs="Calibri" w:eastAsia="Calibri" w:hAnsi="Calibri"/>
          <w:color w:val="262626"/>
          <w:sz w:val="21"/>
          <w:szCs w:val="21"/>
        </w:rPr>
        <w:t xml:space="preserve">The work-pack generation process is deliberately structured so that speed comes from standardization and automation, while engineering judgement and final approval remain entirely with qualified human planners at every step. For GNFC's Annual Shutdown 2027, a dedicated Execution Expert and Planner will take the ~30 job-wise work-packs called for in Annexure-I through requirement gathering, format finalization, structured development and scheduling across six months from October 2026, so that a fully baselined, audit-ready schedule is in place at T-15 days before the tentative April 2027 TA start — with the as-built closeout dossier following within 15 days of TA completion.</w:t>
      </w:r>
    </w:p>
    <w:p>
      <w:pPr>
        <w:spacing w:after="160" w:line="276"/>
        <w:jc w:val="both"/>
      </w:pPr>
      <w:r>
        <w:rPr>
          <w:rFonts w:ascii="Calibri" w:cs="Calibri" w:eastAsia="Calibri" w:hAnsi="Calibri"/>
          <w:color w:val="262626"/>
          <w:sz w:val="21"/>
          <w:szCs w:val="21"/>
        </w:rPr>
        <w:t xml:space="preserve">Syority Corporation Pvt. Ltd. remains available to walk GNFC's technical services team through a live demonstration of this process, including sample work-packs, prior to or during contract mobilization.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   Syority Corporation Pvt. Ltd.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single" w:color="B8CCE4" w:sz="4"/>
        <w:right w:val="none" w:color="FFFFFF" w:sz="0"/>
        <w:insideH w:val="none" w:color="FFFFFF" w:sz="0"/>
        <w:insideV w:val="none" w:color="FFFFFF" w:sz="0"/>
      </w:tblBorders>
    </w:tblPr>
    <w:tblGrid>
      <w:gridCol w:w="2000"/>
      <w:gridCol w:w="7350"/>
    </w:tblGrid>
    <w:tr>
      <w:tc>
        <w:tcPr>
          <w:tcW w:type="dxa" w:w="2000"/>
          <w:tcMar>
            <w:top w:type="dxa" w:w="40"/>
            <w:left w:type="dxa" w:w="0"/>
            <w:bottom w:type="dxa" w:w="80"/>
            <w:right w:type="dxa" w:w="0"/>
          </w:tcMar>
        </w:tcPr>
        <w:p>
          <w:pPr>
            <w:jc w:val="left"/>
          </w:pPr>
          <w:r>
            <w:drawing>
              <wp:inline distT="0" distB="0" distL="0" distR="0">
                <wp:extent cx="10477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47650"/>
                        </a:xfrm>
                        <a:prstGeom prst="rect">
                          <a:avLst/>
                        </a:prstGeom>
                      </pic:spPr>
                    </pic:pic>
                  </a:graphicData>
                </a:graphic>
              </wp:inline>
            </w:drawing>
          </w:r>
        </w:p>
      </w:tc>
      <w:tc>
        <w:tcPr>
          <w:tcW w:type="dxa" w:w="7350"/>
          <w:tcMar>
            <w:top w:type="dxa" w:w="40"/>
            <w:left w:type="dxa" w:w="0"/>
            <w:bottom w:type="dxa" w:w="80"/>
            <w:right w:type="dxa" w:w="0"/>
          </w:tcMar>
          <w:vAlign w:val="center"/>
        </w:tcPr>
        <w:p>
          <w:pPr>
            <w:jc w:val="right"/>
          </w:pPr>
          <w:r>
            <w:rPr>
              <w:rFonts w:ascii="Calibri" w:cs="Calibri" w:eastAsia="Calibri" w:hAnsi="Calibri"/>
              <w:color w:val="595959"/>
              <w:sz w:val="16"/>
              <w:szCs w:val="16"/>
            </w:rPr>
            <w:t xml:space="preserve">SYORITY — Work-Pack Generation Process | GNFC Annual Shutdown 2027</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f8206f02be7807225a5530738700f79c921ca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8f8206f02be7807225a5530738700f79c921ca2.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2026-08-19T08:21:31.756Z</dcterms:created>
  <dcterms:modified xsi:type="dcterms:W3CDTF">2026-08-19T08:21:31.756Z</dcterms:modified>
</cp:coreProperties>
</file>

<file path=docProps/custom.xml><?xml version="1.0" encoding="utf-8"?>
<Properties xmlns="http://schemas.openxmlformats.org/officeDocument/2006/custom-properties" xmlns:vt="http://schemas.openxmlformats.org/officeDocument/2006/docPropsVTypes"/>
</file>