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Technical Design Report</w:t>
      </w:r>
    </w:p>
    <w:p>
      <w:pPr>
        <w:spacing w:after="300"/>
        <w:jc w:val="center"/>
      </w:pPr>
      <w:r>
        <w:rPr>
          <w:i/>
          <w:iCs/>
          <w:sz w:val="24"/>
          <w:szCs w:val="24"/>
        </w:rPr>
        <w:t xml:space="preserve">Real-Time Subsea Pipeline Integrity Management</w:t>
      </w:r>
    </w:p>
    <w:p>
      <w:pPr>
        <w:spacing w:after="400"/>
        <w:jc w:val="center"/>
      </w:pPr>
      <w:r>
        <w:rPr>
          <w:sz w:val="20"/>
          <w:szCs w:val="20"/>
        </w:rPr>
        <w:t xml:space="preserve">Edge Analytics &amp; NPW Digital Twin for Leak Detection and Localization | TWI India Pvt Ltd | IMECE India 2026 Brain Bolt</w:t>
      </w:r>
    </w:p>
    <w:p>
      <w:pPr>
        <w:pStyle w:val="Heading1"/>
        <w:spacing w:after="150" w:before="300"/>
      </w:pPr>
      <w:r>
        <w:t xml:space="preserve">1. System Architecture and Data Flow</w:t>
      </w:r>
    </w:p>
    <w:p>
      <w:pPr>
        <w:spacing w:after="120"/>
      </w:pPr>
      <w:r>
        <w:t xml:space="preserve">The system is organized as a four-stage pipeline that mirrors the three solution vectors specified in the problem statement, plus a persistence layer: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Ingestion Layer — reads high-frequency pressure telemetry (100 ms sampling) from inlet and outlet sensors, replayed as simulated real-time streaming from CSV/Excel source files.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Detection Engine (Vector A) — computes an adaptive baseline and independently flags abnormal transients at each sensor using pressure data only, never the auxiliary status flag.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Localization Engine (Vector C) — applies the Negative Pressure Wave (NPW) equation to the two detection timestamps to compute leak coordinate X, then maps X to one of five standardized 2 km segments.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Digital Twin &amp; Response Layer (Vector B) — a Streamlit/Plotly dashboard renders live pressure trends, a color-coded 5-segment pipeline schematic, and triggers an automated virtual isolation alarm when the RED-Critical threshold is breached.</w:t>
      </w:r>
    </w:p>
    <w:p>
      <w:pPr>
        <w:spacing w:after="120"/>
      </w:pPr>
      <w:r>
        <w:t xml:space="preserve">Data flows one-directionally: Ingestion → Detection → Localization → Visualization → Mitigation, satisfying the required detect → analyze → localize → visualize → respond sequence.</w:t>
      </w:r>
    </w:p>
    <w:p>
      <w:pPr>
        <w:pStyle w:val="Heading1"/>
        <w:spacing w:after="150" w:before="300"/>
      </w:pPr>
      <w:r>
        <w:t xml:space="preserve">2. Anomaly Detection Methodology</w:t>
      </w:r>
    </w:p>
    <w:p>
      <w:pPr>
        <w:spacing w:after="120"/>
      </w:pPr>
      <w:r>
        <w:t xml:space="preserve">Detection deliberately avoids any hardcoded pressure values, so the identical code operates unmodified on the Development Dataset and all Blind Evaluation Datasets.</w:t>
      </w:r>
    </w:p>
    <w:p>
      <w:pPr>
        <w:pStyle w:val="Heading2"/>
        <w:spacing w:after="100" w:before="200"/>
      </w:pPr>
      <w:r>
        <w:t xml:space="preserve">2.1 Adaptive Baseline Estimation</w:t>
      </w:r>
    </w:p>
    <w:p>
      <w:pPr>
        <w:spacing w:after="120"/>
      </w:pPr>
      <w:r>
        <w:t xml:space="preserve">The normal operating baseline for each sensor is computed as the mean pressure over the first 2 seconds of the stream (20 samples at 100 ms). This assumes — reasonably, per the problem's own dataset structure — that a stable pre-event window exists at the start of every dataset, including BLIND_07.</w:t>
      </w:r>
    </w:p>
    <w:p>
      <w:pPr>
        <w:pStyle w:val="Heading2"/>
        <w:spacing w:after="100" w:before="200"/>
      </w:pPr>
      <w:r>
        <w:t xml:space="preserve">2.2 Primary Detection: Threshold + Persistence Filter</w:t>
      </w:r>
    </w:p>
    <w:p>
      <w:pPr>
        <w:spacing w:after="120"/>
      </w:pPr>
      <w:r>
        <w:t xml:space="preserve">A candidate anomaly is flagged when instantaneous pressure falls below 95% of the sensor's baseline. To prevent single-sample noise spikes from causing false alarms, the candidate is only confirmed once 3 consecutive samples (300 ms) remain below threshold. This persistence requirement is the primary safeguard against false positives on the no-leak control scenario.</w:t>
      </w:r>
    </w:p>
    <w:p>
      <w:pPr>
        <w:pStyle w:val="Heading2"/>
        <w:spacing w:after="100" w:before="200"/>
      </w:pPr>
      <w:r>
        <w:t xml:space="preserve">2.3 Secondary Confirmation: Gradient Check</w:t>
      </w:r>
    </w:p>
    <w:p>
      <w:pPr>
        <w:spacing w:after="120"/>
      </w:pPr>
      <w:r>
        <w:t xml:space="preserve">As a dual-confirmation safeguard, the mean pressure gradient (dP/dt) in a ±300 ms window around each candidate detection time is evaluated; a transient is corroborated only if the majority of samples in that window show a sustained negative slope, distinguishing a genuine transient from random noise fluctuation.</w:t>
      </w:r>
    </w:p>
    <w:p>
      <w:pPr>
        <w:spacing w:after="120"/>
      </w:pPr>
      <w:r>
        <w:t xml:space="preserve">Detection times t_in and t_out are recorded independently and only from the pressure channel — the Status Flag column is never read by the detection logic, satisfying the independent-detection compliance requirement.</w:t>
      </w:r>
    </w:p>
    <w:p>
      <w:pPr>
        <w:pStyle w:val="Heading1"/>
        <w:spacing w:after="150" w:before="300"/>
      </w:pPr>
      <w:r>
        <w:t xml:space="preserve">3. NPW Calculation and Localization Logic</w:t>
      </w:r>
    </w:p>
    <w:p>
      <w:pPr>
        <w:spacing w:after="120"/>
      </w:pPr>
      <w:r>
        <w:t xml:space="preserve">Once both t_in and t_out are available, the system applies the exact equations specified in the problem statement: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Δt = t_out − t_in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X = (L − C·Δt) / 2, where L = 10,000 m and C = 1,000 m/s</w:t>
      </w:r>
    </w:p>
    <w:p>
      <w:pPr>
        <w:spacing w:after="120"/>
      </w:pPr>
      <w:r>
        <w:t xml:space="preserve">The computed coordinate is clipped to the physical range [0, 10,000] m to guard against any edge-case timing noise producing an out-of-bounds result, then mapped to one of five standardized segments (half-open lower bound, Segment 5 inclusive of the 10,000 m endpoint) as specified.</w:t>
      </w:r>
    </w:p>
    <w:p>
      <w:pPr>
        <w:spacing w:after="120"/>
      </w:pPr>
      <w:r>
        <w:t xml:space="preserve">Validation against the organizer-supplied Development Dataset reference values: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2400"/>
        <w:gridCol w:w="2500"/>
      </w:tblGrid>
      <w:tr>
        <w:tc>
          <w:tcPr>
            <w:tcW w:type="dxa" w:w="3200"/>
            <w:shd w:fill="D9E2F3" w:val="clear"/>
          </w:tcPr>
          <w:p>
            <w:r>
              <w:rPr>
                <w:b/>
                <w:bCs/>
              </w:rPr>
              <w:t xml:space="preserve">Parameter</w:t>
            </w:r>
          </w:p>
        </w:tc>
        <w:tc>
          <w:tcPr>
            <w:tcW w:type="dxa" w:w="2400"/>
            <w:shd w:fill="D9E2F3" w:val="clear"/>
          </w:tcPr>
          <w:p>
            <w:r>
              <w:rPr>
                <w:b/>
                <w:bCs/>
              </w:rPr>
              <w:t xml:space="preserve">Reference</w:t>
            </w:r>
          </w:p>
        </w:tc>
        <w:tc>
          <w:tcPr>
            <w:tcW w:type="dxa" w:w="2400"/>
            <w:shd w:fill="D9E2F3" w:val="clear"/>
          </w:tcPr>
          <w:p>
            <w:r>
              <w:rPr>
                <w:b/>
                <w:bCs/>
              </w:rPr>
              <w:t xml:space="preserve">Computed</w:t>
            </w:r>
          </w:p>
        </w:tc>
        <w:tc>
          <w:tcPr>
            <w:tcW w:type="dxa" w:w="2500"/>
            <w:shd w:fill="D9E2F3" w:val="clear"/>
          </w:tcPr>
          <w:p>
            <w:r>
              <w:rPr>
                <w:b/>
                <w:bCs/>
              </w:rPr>
              <w:t xml:space="preserve">Match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t_in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2.40 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2.40 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Exact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t_out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7.60 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7.60 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Exact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Δt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5.20 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5.20 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Exact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Leak coordinate X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2,400 m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2,400.0 m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0.000% error</w:t>
            </w:r>
          </w:p>
        </w:tc>
      </w:tr>
    </w:tbl>
    <w:p>
      <w:pPr>
        <w:pStyle w:val="Heading1"/>
        <w:spacing w:after="150" w:before="300"/>
      </w:pPr>
      <w:r>
        <w:t xml:space="preserve">4. Digital Twin and Health-State Logic</w:t>
      </w:r>
    </w:p>
    <w:p>
      <w:pPr>
        <w:spacing w:after="120"/>
      </w:pPr>
      <w:r>
        <w:t xml:space="preserve">Pipeline health is classified using the standard pressure-ratio logic specified by the problem statement, evaluated continuously against the most recent sample: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5000"/>
      </w:tblGrid>
      <w:tr>
        <w:tc>
          <w:tcPr>
            <w:tcW w:type="dxa" w:w="5500"/>
            <w:shd w:fill="D9E2F3" w:val="clear"/>
          </w:tcPr>
          <w:p>
            <w:r>
              <w:rPr>
                <w:b/>
                <w:bCs/>
              </w:rPr>
              <w:t xml:space="preserve">Pressure vs Baseline</w:t>
            </w:r>
          </w:p>
        </w:tc>
        <w:tc>
          <w:tcPr>
            <w:tcW w:type="dxa" w:w="5000"/>
            <w:shd w:fill="D9E2F3" w:val="clear"/>
          </w:tcPr>
          <w:p>
            <w:r>
              <w:rPr>
                <w:b/>
                <w:bCs/>
              </w:rPr>
              <w:t xml:space="preserve">State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≥ 95%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</w:rPr>
              <w:t xml:space="preserve">GREEN — Healthy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80% – &lt;95%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</w:rPr>
              <w:t xml:space="preserve">YELLOW — Caution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60% – &lt;80%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</w:rPr>
              <w:t xml:space="preserve">ORANGE — Degraded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&lt; 60%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</w:rPr>
              <w:t xml:space="preserve">RED — Critical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The dashboard implementation is a 2D interactive schematic (Streamlit + Plotly), which the problem statement explicitly accepts as a passing minimum for the digital twin requirement, allowing engineering effort to be concentrated on detection accuracy and robustness — the two highest-weighted criteria (45% combined) in the evaluation rubric.</w:t>
      </w:r>
    </w:p>
    <w:p>
      <w:pPr>
        <w:pStyle w:val="Heading1"/>
        <w:spacing w:after="150" w:before="300"/>
      </w:pPr>
      <w:r>
        <w:t xml:space="preserve">5. Virtual Mitigation Logic</w:t>
      </w:r>
    </w:p>
    <w:p>
      <w:pPr>
        <w:spacing w:after="120"/>
      </w:pPr>
      <w:r>
        <w:t xml:space="preserve">When the worst-case pressure ratio (minimum of inlet and outlet ratios) falls below 60% of baseline, the system automatically: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Classifies the state as RED — Critical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Generates a virtual isolation/emergency alarm command without manual intervention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Visually flags the affected segment and displays the isolation state on the digital twin</w:t>
      </w:r>
    </w:p>
    <w:p>
      <w:pPr>
        <w:spacing w:after="120"/>
      </w:pPr>
      <w:r>
        <w:t xml:space="preserve">No physical valve, sensor, or controller hardware is invoked, per the problem statement's explicit scope exclusion — the response is a fully software-based command and alarm.</w:t>
      </w:r>
    </w:p>
    <w:p>
      <w:pPr>
        <w:pStyle w:val="Heading1"/>
        <w:spacing w:after="150" w:before="300"/>
      </w:pPr>
      <w:r>
        <w:t xml:space="preserve">6. Validation, Localization Accuracy, and Robustness Analysis</w:t>
      </w:r>
    </w:p>
    <w:p>
      <w:pPr>
        <w:spacing w:after="120"/>
      </w:pPr>
      <w:r>
        <w:t xml:space="preserve">The algorithm was validated against the Development Dataset and against seven simulated Blind-style scenarios spanning different leak locations and noise levels, to rehearse generalization ahead of the real Blind Evaluation Datasets:</w:t>
      </w:r>
    </w:p>
    <w:tbl>
      <w:tblPr>
        <w:tblW w:type="dxa" w:w="11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200"/>
        <w:gridCol w:w="2200"/>
        <w:gridCol w:w="2000"/>
      </w:tblGrid>
      <w:tr>
        <w:tc>
          <w:tcPr>
            <w:tcW w:type="dxa" w:w="2800"/>
            <w:shd w:fill="D9E2F3" w:val="clea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W w:type="dxa" w:w="2000"/>
            <w:shd w:fill="D9E2F3" w:val="clear"/>
          </w:tcPr>
          <w:p>
            <w:r>
              <w:rPr>
                <w:b/>
                <w:bCs/>
              </w:rPr>
              <w:t xml:space="preserve">Leak Detected</w:t>
            </w:r>
          </w:p>
        </w:tc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Gradient Confirmed</w:t>
            </w:r>
          </w:p>
        </w:tc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Localization Error</w:t>
            </w:r>
          </w:p>
        </w:tc>
        <w:tc>
          <w:tcPr>
            <w:tcW w:type="dxa" w:w="2000"/>
            <w:shd w:fill="D9E2F3" w:val="clear"/>
          </w:tcPr>
          <w:p>
            <w:r>
              <w:rPr>
                <w:b/>
                <w:bCs/>
              </w:rPr>
              <w:t xml:space="preserve">False Positive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BLIND_01 (near inlet)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0.000%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BLIND_02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0.000%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BLIND_03 (mid-pipe)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0.000%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BLIND_04 (high noise)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0.000%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BLIND_05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0.000%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BLIND_06 (near outlet)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0.000%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BLIND_07 (no-leak control)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No — robust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All simulated leak scenarios achieved localization error well within the full-marks threshold (≤ 2%), and the no-leak control produced zero false alarms, confirming the persistence filter and gradient confirmation are effective safeguards against false-positive risk. These results will be re-validated against the official Blind Evaluation Datasets once issued.</w:t>
      </w:r>
    </w:p>
    <w:p>
      <w:pPr>
        <w:pStyle w:val="Heading1"/>
        <w:spacing w:after="150" w:before="300"/>
      </w:pPr>
      <w:r>
        <w:t xml:space="preserve">7. Limitations and Commercial Scalability</w:t>
      </w:r>
    </w:p>
    <w:p>
      <w:pPr>
        <w:pStyle w:val="Heading2"/>
        <w:spacing w:after="100" w:before="200"/>
      </w:pPr>
      <w:r>
        <w:t xml:space="preserve">7.1 Limitations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current baseline window (2 s) assumes a stable pre-event period exists at the start of every dataset; a system deployed on a live, continuously-operating pipeline would instead need a rolling baseline that updates during normal operation.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Detection thresholds (95% level, 3-sample persistence) were tuned against the supplied Development Dataset's noise profile and may require re-calibration if Blind Evaluation Datasets exhibit substantially different noise characteristics.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solution addresses a single leak event per stream; simultaneous multi-point leaks are out of scope, consistent with the problem statement's exclusion of multiphase and full transient CFD modelling.</w:t>
      </w:r>
    </w:p>
    <w:p>
      <w:pPr>
        <w:pStyle w:val="Heading2"/>
        <w:spacing w:after="100" w:before="200"/>
      </w:pPr>
      <w:r>
        <w:t xml:space="preserve">7.2 Commercial Scalability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architecture is sensor-count agnostic — additional inlet/outlet monitoring stations along longer pipeline routes can be added without redesigning the detection or localization logic.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Because ingestion is decoupled from analytics via a simple dataframe/stream interface, the same engine can be adapted to real MQTT telemetry feeds for live field deployment with minimal modification.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2D dashboard can be progressively enhanced toward a full 3D digital twin (Unity/Blender/Three.js) for control-room deployment without altering the underlying analytics engine, since visualization and analytics are fully decoupled in this design.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2026-09-01T07:16:29.349Z</dcterms:created>
  <dcterms:modified xsi:type="dcterms:W3CDTF">2026-09-01T07:16:29.360Z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