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  <w:color w:val="1F3864"/>
        </w:rPr>
        <w:t xml:space="preserve">Mars Rover Mission Control</w:t>
      </w:r>
    </w:p>
    <w:p>
      <w:pPr>
        <w:spacing w:after="400"/>
        <w:jc w:val="center"/>
      </w:pPr>
      <w:r>
        <w:rPr>
          <w:i/>
          <w:iCs/>
          <w:color w:val="404040"/>
          <w:sz w:val="24"/>
          <w:szCs w:val="24"/>
        </w:rPr>
        <w:t xml:space="preserve">Functional and Non-Functional Requirements Analysis (v1.1 — Updated per CR-01, CR-02, CR-03)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1. Purpose</w:t>
      </w:r>
    </w:p>
    <w:p>
      <w:pPr>
        <w:spacing w:after="200"/>
      </w:pPr>
      <w:r>
        <w:t xml:space="preserve">This document identifies the Functional Requirements (FRs) and Non-Functional Requirements (NFRs) derived from the engineering notes for the Mars Rover Mission Control system. Each requirement is traced back to the source statement that generated it.</w:t>
      </w:r>
    </w:p>
    <w:p>
      <w:pPr>
        <w:spacing w:after="200"/>
      </w:pPr>
      <w:r>
        <w:rPr>
          <w:i/>
          <w:iCs/>
          <w:color w:val="606060"/>
        </w:rPr>
        <w:t xml:space="preserve">Note: Mission Control's Change Requests reference requirements as FR-04, NFR-04, and NFR-02 using its own internal numbering. Based on content matching, these correspond to FR5, NFR3, and FR3 respectively in this document’s requirement register (see updates below, applied as of v1.1).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2. Functional Requirements (FR)</w:t>
      </w:r>
    </w:p>
    <w:p>
      <w:pPr>
        <w:spacing w:after="200"/>
      </w:pPr>
      <w:r>
        <w:t xml:space="preserve">Functional requirements describe specific behaviors or capabilities the system must perform.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5040"/>
        <w:gridCol w:w="4032"/>
      </w:tblGrid>
      <w:tr>
        <w:trPr>
          <w:tblHeader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/ Justification</w:t>
            </w:r>
          </w:p>
        </w:tc>
      </w:tr>
      <w:t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FR1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Receive commands from Mission Control and execute them if valid.</w:t>
            </w:r>
          </w:p>
        </w:tc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“The rover shall receive commands from Mission Control and execute valid commands.”</w:t>
            </w:r>
          </w:p>
        </w:tc>
      </w:tr>
      <w:t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FR2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telemetry: position, battery level, temperature, and communication status.</w:t>
            </w:r>
          </w:p>
        </w:tc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“The rover shall report its current position, battery level, temperature, and communication status.”</w:t>
            </w:r>
          </w:p>
        </w:tc>
      </w:tr>
      <w:t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FR3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 and role-authorize the operator issuing a command before processing it. (Updated per CR-03)</w:t>
            </w:r>
          </w:p>
        </w:tc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“Only authenticated Mission Control operators shall be allowed to issue commands.” — CR-03: operators must also be role-authorized before commands are accepted.</w:t>
            </w:r>
          </w:p>
        </w:tc>
      </w:tr>
      <w:t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FR4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each command and reject it (with a status/reason) if invalid or unauthorized.</w:t>
            </w:r>
          </w:p>
        </w:tc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“The system shall reject invalid or unauthorized commands.”</w:t>
            </w:r>
          </w:p>
        </w:tc>
      </w:tr>
      <w:t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FR5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 critical battery or thermal fault conditions and transition the rover into Safe Mode within 3 seconds when battery temperature exceeds the critical threshold or battery capacity falls below the defined emergency level. (Updated per CR-01)</w:t>
            </w:r>
          </w:p>
        </w:tc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“If the rover detects a critical battery or thermal condition, it shall enter Safe Mode.” — CR-01: Safe Mode entry must occur within 3 seconds of the critical threshold being exceeded.</w:t>
            </w:r>
          </w:p>
        </w:tc>
      </w:tr>
      <w:t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FR6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command execution status (received / executing / completed / failed) back to Mission Control.</w:t>
            </w:r>
          </w:p>
        </w:tc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“Mission Control shall receive command execution status.”</w:t>
            </w:r>
          </w:p>
        </w:tc>
      </w:tr>
      <w:t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FR7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all commands and critical rover events with timestamp and operator ID for later investigation.</w:t>
            </w:r>
          </w:p>
        </w:tc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“All commands and critical rover events shall be recorded with timestamp and operator ID.”</w:t>
            </w:r>
          </w:p>
        </w:tc>
      </w:tr>
      <w:t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FR8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 loss or degradation of the communication link with the rover.</w:t>
            </w:r>
          </w:p>
        </w:tc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Mission brief: “Detect communication failures.”</w:t>
            </w:r>
          </w:p>
        </w:tc>
      </w:tr>
      <w:t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FR9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command and telemetry sessions independently for multiple rovers.</w:t>
            </w:r>
          </w:p>
        </w:tc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Mission brief: “Support communication with multiple rovers simultaneously.”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</w:rPr>
        <w:t xml:space="preserve">3. Non-Functional Requirements (NFR)</w:t>
      </w:r>
    </w:p>
    <w:p>
      <w:pPr>
        <w:spacing w:after="200" w:before="200"/>
      </w:pPr>
      <w:r>
        <w:t xml:space="preserve">Non-functional requirements describe the quality attributes, constraints, and performance criteria the system must satisfy.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1814"/>
        <w:gridCol w:w="4234"/>
        <w:gridCol w:w="3226"/>
      </w:tblGrid>
      <w:tr>
        <w:trPr>
          <w:tblHeader/>
        </w:trPr>
        <w:tc>
          <w:tcPr>
            <w:tcW w:type="dxa" w:w="8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2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/ Justification</w:t>
            </w:r>
          </w:p>
        </w:tc>
      </w:tr>
      <w:tr>
        <w:tc>
          <w:tcPr>
            <w:tcW w:type="dxa" w:w="8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NFR1</w:t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2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 processing shall normally complete within 5 seconds of the rover receiving it.</w:t>
            </w:r>
          </w:p>
        </w:tc>
        <w:tc>
          <w:tcPr>
            <w:tcW w:type="dxa" w:w="3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“Command processing should normally complete within 5 seconds…”</w:t>
            </w:r>
          </w:p>
        </w:tc>
      </w:tr>
      <w:tr>
        <w:tc>
          <w:tcPr>
            <w:tcW w:type="dxa" w:w="8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NFR2</w:t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Reliability / Fault Tolerance</w:t>
            </w:r>
          </w:p>
        </w:tc>
        <w:tc>
          <w:tcPr>
            <w:tcW w:type="dxa" w:w="42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continue operating correctly through temporary communication interruptions, without relying on simple repeated re-sends.</w:t>
            </w:r>
          </w:p>
        </w:tc>
        <w:tc>
          <w:tcPr>
            <w:tcW w:type="dxa" w:w="3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“The system shall continue operating despite temporary communication interruptions” + “commands cannot simply be sent repeatedly”</w:t>
            </w:r>
          </w:p>
        </w:tc>
      </w:tr>
      <w:tr>
        <w:tc>
          <w:tcPr>
            <w:tcW w:type="dxa" w:w="8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NFR3</w:t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2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at least 20 simultaneously connected rovers without loss of correctness or performance degradation. (Updated per CR-02)</w:t>
            </w:r>
          </w:p>
        </w:tc>
        <w:tc>
          <w:tcPr>
            <w:tcW w:type="dxa" w:w="3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“The system should support communication with multiple rovers simultaneously.” — CR-02: quantified to at least 20 concurrent rovers.</w:t>
            </w:r>
          </w:p>
        </w:tc>
      </w:tr>
      <w:tr>
        <w:tc>
          <w:tcPr>
            <w:tcW w:type="dxa" w:w="8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NFR4</w:t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42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Unauthenticated or unauthorized commands shall never be executed, under any condition. (Reinforced per CR-03)</w:t>
            </w:r>
          </w:p>
        </w:tc>
        <w:tc>
          <w:tcPr>
            <w:tcW w:type="dxa" w:w="3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Derived from FR3 / FR4. Reinforced by CR-03 (role-based authorization).</w:t>
            </w:r>
          </w:p>
        </w:tc>
      </w:tr>
      <w:tr>
        <w:tc>
          <w:tcPr>
            <w:tcW w:type="dxa" w:w="8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NFR5</w:t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Efficiency / Design Constraint</w:t>
            </w:r>
          </w:p>
        </w:tc>
        <w:tc>
          <w:tcPr>
            <w:tcW w:type="dxa" w:w="42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command/telemetry protocol shall operate within limited bandwidth and tolerate multi-minute one-way latency.</w:t>
            </w:r>
          </w:p>
        </w:tc>
        <w:tc>
          <w:tcPr>
            <w:tcW w:type="dxa" w:w="3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“Limited communication bandwidth and a communication delay of several minutes.”</w:t>
            </w:r>
          </w:p>
        </w:tc>
      </w:tr>
      <w:tr>
        <w:tc>
          <w:tcPr>
            <w:tcW w:type="dxa" w:w="8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NFR6</w:t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Maintainability / Auditability</w:t>
            </w:r>
          </w:p>
        </w:tc>
        <w:tc>
          <w:tcPr>
            <w:tcW w:type="dxa" w:w="42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and command logs shall be persisted durably and remain available and accurate for post-mission investigation.</w:t>
            </w:r>
          </w:p>
        </w:tc>
        <w:tc>
          <w:tcPr>
            <w:tcW w:type="dxa" w:w="3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“Recorded… for later investigation” (implied durability).</w:t>
            </w:r>
          </w:p>
        </w:tc>
      </w:tr>
      <w:tr>
        <w:tc>
          <w:tcPr>
            <w:tcW w:type="dxa" w:w="8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NFR7</w:t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Safety / Availability</w:t>
            </w:r>
          </w:p>
        </w:tc>
        <w:tc>
          <w:tcPr>
            <w:tcW w:type="dxa" w:w="42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Entering Safe Mode shall take priority over normal command execution to protect rover survivability.</w:t>
            </w:r>
          </w:p>
        </w:tc>
        <w:tc>
          <w:tcPr>
            <w:tcW w:type="dxa" w:w="3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Derived from FR5.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</w:rPr>
        <w:t xml:space="preserve">4. Methodology</w:t>
      </w:r>
    </w:p>
    <w:p>
      <w:pPr>
        <w:spacing w:after="150"/>
      </w:pPr>
      <w:r>
        <w:t xml:space="preserve">The following steps were used to derive the requirements above: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Isolate each sentence in the engineering note and mission brief as a candidate requirement.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Classify each statement as functional (“what the system does”) or non-functional (“how well it does it”).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Split dual-nature statements (e.g., authentication) into a functional mechanism and a related quality attribute.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Cross-check against the mission brief bullets to capture implied requirements not explicit in the note.</w:t>
      </w:r>
    </w:p>
    <w:p>
      <w:pPr>
        <w:spacing w:after="100"/>
      </w:pPr>
      <w:r>
        <w:rPr>
          <w:b/>
          <w:bCs/>
        </w:rPr>
        <w:t xml:space="preserve">5. </w:t>
      </w:r>
      <w:r>
        <w:t xml:space="preserve">Remove duplicates and merge overlapping statements into single, clearly scoped requirements.</w:t>
      </w:r>
    </w:p>
    <w:p>
      <w:pPr>
        <w:spacing w:after="100"/>
      </w:pPr>
      <w:r>
        <w:rPr>
          <w:b/>
          <w:bCs/>
        </w:rPr>
        <w:t xml:space="preserve">6. </w:t>
      </w:r>
      <w:r>
        <w:t xml:space="preserve">Assign IDs and trace each requirement back to its source sentence.</w:t>
      </w:r>
    </w:p>
    <w:p>
      <w:pPr>
        <w:spacing w:after="100"/>
      </w:pPr>
      <w:r>
        <w:rPr>
          <w:b/>
          <w:bCs/>
        </w:rPr>
        <w:t xml:space="preserve">7. </w:t>
      </w:r>
      <w:r>
        <w:t xml:space="preserve">Validate completeness against every capability mentioned in the brief.</w:t>
      </w:r>
    </w:p>
    <w:p>
      <w:pPr>
        <w:spacing w:after="100"/>
      </w:pPr>
      <w:r>
        <w:rPr>
          <w:b/>
          <w:bCs/>
        </w:rPr>
        <w:t xml:space="preserve">8. </w:t>
      </w:r>
      <w:r>
        <w:t xml:space="preserve">Peer-review the list against the original note to check for omissions or bias.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5. Change Requests Applied (v1.1)</w:t>
      </w:r>
    </w:p>
    <w:p>
      <w:pPr>
        <w:spacing w:after="200"/>
      </w:pPr>
      <w:r>
        <w:t xml:space="preserve">Mission Control issued three Change Requests revising the baseline requirements below. Each is mapped to the affected requirement in this register.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880"/>
      </w:tblGrid>
      <w:tr>
        <w:trPr>
          <w:tblHeader/>
        </w:trP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 ID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CR-01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FR5</w:t>
            </w:r>
          </w:p>
        </w:tc>
        <w:tc>
          <w:tcPr>
            <w:tcW w:type="dxa" w:w="6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Adds a hard 3-second time limit and explicit dual trigger conditions to Safe Mode activation.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CR-02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NFR3</w:t>
            </w:r>
          </w:p>
        </w:tc>
        <w:tc>
          <w:tcPr>
            <w:tcW w:type="dxa" w:w="6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Converts the vague “multiple rovers” statement into a measurable target of at least 20 concurrent rovers.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CR-03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FR3, NFR4</w:t>
            </w:r>
          </w:p>
        </w:tc>
        <w:tc>
          <w:tcPr>
            <w:tcW w:type="dxa" w:w="6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Upgrades authentication-only access control to authentication plus role-based authorization.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</w:rPr>
        <w:t xml:space="preserve">6. Version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6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v1.0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baseline</w:t>
            </w:r>
          </w:p>
        </w:tc>
        <w:tc>
          <w:tcPr>
            <w:tcW w:type="dxa" w:w="6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Original FR/NFR set from engineering note analysis.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v1.1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CR-01, CR-02, CR-03 applied</w:t>
            </w:r>
          </w:p>
        </w:tc>
        <w:tc>
          <w:tcPr>
            <w:tcW w:type="dxa" w:w="6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Safe Mode timing added (FR5); rover scalability quantified (NFR3); authentication upgraded to role-based authorization (FR3, NFR4).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2026-09-16T08:08:26.192Z</dcterms:created>
  <dcterms:modified xsi:type="dcterms:W3CDTF">2026-09-16T08:08:26.201Z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