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rPr>
          <w:b/>
          <w:bCs/>
          <w:color w:val="1F3864"/>
        </w:rPr>
        <w:t xml:space="preserve">Mars Rover Mission Control</w:t>
      </w:r>
    </w:p>
    <w:p>
      <w:pPr>
        <w:spacing w:after="400"/>
        <w:jc w:val="center"/>
      </w:pPr>
      <w:r>
        <w:rPr>
          <w:i/>
          <w:iCs/>
          <w:color w:val="404040"/>
          <w:sz w:val="24"/>
          <w:szCs w:val="24"/>
        </w:rPr>
        <w:t xml:space="preserve">Functional and Non-Functional Requirements Analysis</w:t>
      </w:r>
    </w:p>
    <w:p>
      <w:pPr>
        <w:pStyle w:val="Heading1"/>
        <w:spacing w:after="200" w:before="400"/>
      </w:pPr>
      <w:r>
        <w:rPr>
          <w:b/>
          <w:bCs/>
          <w:color w:val="1F3864"/>
        </w:rPr>
        <w:t xml:space="preserve">1. Purpose</w:t>
      </w:r>
    </w:p>
    <w:p>
      <w:pPr>
        <w:spacing w:after="200"/>
      </w:pPr>
      <w:r>
        <w:t xml:space="preserve">This document identifies the Functional Requirements (FRs) and Non-Functional Requirements (NFRs) derived from the engineering notes for the Mars Rover Mission Control system. Each requirement is traced back to the source statement that generated it.</w:t>
      </w:r>
    </w:p>
    <w:p>
      <w:pPr>
        <w:pStyle w:val="Heading1"/>
        <w:spacing w:after="200" w:before="400"/>
      </w:pPr>
      <w:r>
        <w:rPr>
          <w:b/>
          <w:bCs/>
          <w:color w:val="1F3864"/>
        </w:rPr>
        <w:t xml:space="preserve">2. Functional Requirements (FR)</w:t>
      </w:r>
    </w:p>
    <w:p>
      <w:pPr>
        <w:spacing w:after="200"/>
      </w:pPr>
      <w:r>
        <w:t xml:space="preserve">Functional requirements describe specific behaviors or capabilities the system must perform.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5040"/>
        <w:gridCol w:w="4032"/>
      </w:tblGrid>
      <w:tr>
        <w:trPr>
          <w:tblHeader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/ Justification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FR1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Receive commands from Mission Control and execute them if valid.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“The rover shall receive commands from Mission Control and execute valid commands.”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FR2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Report telemetry: position, battery level, temperature, and communication status.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“The rover shall report its current position, battery level, temperature, and communication status.”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FR3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Authenticate the operator issuing a command before processing it.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“Only authenticated Mission Control operators shall be allowed to issue commands.”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FR4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Validate each command and reject it (with a status/reason) if invalid or unauthorized.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“The system shall reject invalid or unauthorized commands.”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FR5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Detect critical battery or thermal fault conditions and autonomously transition the rover into Safe Mode.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“If the rover detects a critical battery or thermal condition, it shall enter Safe Mode.”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FR6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 command execution status (received / executing / completed / failed) back to Mission Control.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“Mission Control shall receive command execution status.”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FR7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 all commands and critical rover events with timestamp and operator ID for later investigation.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“All commands and critical rover events shall be recorded with timestamp and operator ID.”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FR8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Detect loss or degradation of the communication link with the rover.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Mission brief: “Detect communication failures.”</w:t>
            </w:r>
          </w:p>
        </w:tc>
      </w:tr>
      <w:t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FR9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 command and telemetry sessions independently for multiple rovers.</w:t>
            </w:r>
          </w:p>
        </w:tc>
        <w:tc>
          <w:tcPr>
            <w:tcW w:type="dxa" w:w="403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Mission brief: “Support communication with multiple rovers simultaneously.”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3864"/>
        </w:rPr>
        <w:t xml:space="preserve">3. Non-Functional Requirements (NFR)</w:t>
      </w:r>
    </w:p>
    <w:p>
      <w:pPr>
        <w:spacing w:after="200" w:before="200"/>
      </w:pPr>
      <w:r>
        <w:t xml:space="preserve">Non-functional requirements describe the quality attributes, constraints, and performance criteria the system must satisfy.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6"/>
        <w:gridCol w:w="1814"/>
        <w:gridCol w:w="4234"/>
        <w:gridCol w:w="3226"/>
      </w:tblGrid>
      <w:tr>
        <w:trPr>
          <w:tblHeader/>
        </w:trP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/ Justification</w:t>
            </w:r>
          </w:p>
        </w:tc>
      </w:tr>
      <w:t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NFR1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Command processing shall normally complete within 5 seconds of the rover receiving it.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“Command processing should normally complete within 5 seconds…”</w:t>
            </w:r>
          </w:p>
        </w:tc>
      </w:tr>
      <w:t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NFR2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Reliability / Fault Tolerance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continue operating correctly through temporary communication interruptions, without relying on simple repeated re-sends.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“The system shall continue operating despite temporary communication interruptions” + “commands cannot simply be sent repeatedly”</w:t>
            </w:r>
          </w:p>
        </w:tc>
      </w:tr>
      <w:t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NFR3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system shall support simultaneous communication with multiple rovers without loss of correctness or performance degradation.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“The system should support communication with multiple rovers simultaneously.”</w:t>
            </w:r>
          </w:p>
        </w:tc>
      </w:tr>
      <w:t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NFR4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Unauthenticated or unauthorized commands shall never be executed, under any condition.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Derived from FR3 / FR4.</w:t>
            </w:r>
          </w:p>
        </w:tc>
      </w:tr>
      <w:t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NFR5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Efficiency / Design Constraint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command/telemetry protocol shall operate within limited bandwidth and tolerate multi-minute one-way latency.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“Limited communication bandwidth and a communication delay of several minutes.”</w:t>
            </w:r>
          </w:p>
        </w:tc>
      </w:tr>
      <w:t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NFR6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Maintainability / Auditability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Event and command logs shall be persisted durably and remain available and accurate for post-mission investigation.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CE6F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“Recorded… for later investigation” (implied durability).</w:t>
            </w:r>
          </w:p>
        </w:tc>
      </w:tr>
      <w:tr>
        <w:tc>
          <w:tcPr>
            <w:tcW w:type="dxa" w:w="8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NFR7</w:t>
            </w:r>
          </w:p>
        </w:tc>
        <w:tc>
          <w:tcPr>
            <w:tcW w:type="dxa" w:w="18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Safety / Availability</w:t>
            </w:r>
          </w:p>
        </w:tc>
        <w:tc>
          <w:tcPr>
            <w:tcW w:type="dxa" w:w="423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Entering Safe Mode shall take priority over normal command execution to protect rover survivability.</w:t>
            </w:r>
          </w:p>
        </w:tc>
        <w:tc>
          <w:tcPr>
            <w:tcW w:type="dxa" w:w="322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Derived from FR5.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3864"/>
        </w:rPr>
        <w:t xml:space="preserve">4. Methodology</w:t>
      </w:r>
    </w:p>
    <w:p>
      <w:pPr>
        <w:spacing w:after="150"/>
      </w:pPr>
      <w:r>
        <w:t xml:space="preserve">The following steps were used to derive the requirements above:</w:t>
      </w:r>
    </w:p>
    <w:p>
      <w:pPr>
        <w:spacing w:after="100"/>
      </w:pPr>
      <w:r>
        <w:rPr>
          <w:b/>
          <w:bCs/>
        </w:rPr>
        <w:t xml:space="preserve">1. </w:t>
      </w:r>
      <w:r>
        <w:t xml:space="preserve">Isolate each sentence in the engineering note and mission brief as a candidate requirement.</w:t>
      </w:r>
    </w:p>
    <w:p>
      <w:pPr>
        <w:spacing w:after="100"/>
      </w:pPr>
      <w:r>
        <w:rPr>
          <w:b/>
          <w:bCs/>
        </w:rPr>
        <w:t xml:space="preserve">2. </w:t>
      </w:r>
      <w:r>
        <w:t xml:space="preserve">Classify each statement as functional (“what the system does”) or non-functional (“how well it does it”).</w:t>
      </w:r>
    </w:p>
    <w:p>
      <w:pPr>
        <w:spacing w:after="100"/>
      </w:pPr>
      <w:r>
        <w:rPr>
          <w:b/>
          <w:bCs/>
        </w:rPr>
        <w:t xml:space="preserve">3. </w:t>
      </w:r>
      <w:r>
        <w:t xml:space="preserve">Split dual-nature statements (e.g., authentication) into a functional mechanism and a related quality attribute.</w:t>
      </w:r>
    </w:p>
    <w:p>
      <w:pPr>
        <w:spacing w:after="100"/>
      </w:pPr>
      <w:r>
        <w:rPr>
          <w:b/>
          <w:bCs/>
        </w:rPr>
        <w:t xml:space="preserve">4. </w:t>
      </w:r>
      <w:r>
        <w:t xml:space="preserve">Cross-check against the mission brief bullets to capture implied requirements not explicit in the note.</w:t>
      </w:r>
    </w:p>
    <w:p>
      <w:pPr>
        <w:spacing w:after="100"/>
      </w:pPr>
      <w:r>
        <w:rPr>
          <w:b/>
          <w:bCs/>
        </w:rPr>
        <w:t xml:space="preserve">5. </w:t>
      </w:r>
      <w:r>
        <w:t xml:space="preserve">Remove duplicates and merge overlapping statements into single, clearly scoped requirements.</w:t>
      </w:r>
    </w:p>
    <w:p>
      <w:pPr>
        <w:spacing w:after="100"/>
      </w:pPr>
      <w:r>
        <w:rPr>
          <w:b/>
          <w:bCs/>
        </w:rPr>
        <w:t xml:space="preserve">6. </w:t>
      </w:r>
      <w:r>
        <w:t xml:space="preserve">Assign IDs and trace each requirement back to its source sentence.</w:t>
      </w:r>
    </w:p>
    <w:p>
      <w:pPr>
        <w:spacing w:after="100"/>
      </w:pPr>
      <w:r>
        <w:rPr>
          <w:b/>
          <w:bCs/>
        </w:rPr>
        <w:t xml:space="preserve">7. </w:t>
      </w:r>
      <w:r>
        <w:t xml:space="preserve">Validate completeness against every capability mentioned in the brief.</w:t>
      </w:r>
    </w:p>
    <w:p>
      <w:pPr>
        <w:spacing w:after="100"/>
      </w:pPr>
      <w:r>
        <w:rPr>
          <w:b/>
          <w:bCs/>
        </w:rPr>
        <w:t xml:space="preserve">8. </w:t>
      </w:r>
      <w:r>
        <w:t xml:space="preserve">Peer-review the list against the original note to check for omissions or bias.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2026-09-16T08:08:26.192Z</dcterms:created>
  <dcterms:modified xsi:type="dcterms:W3CDTF">2026-09-16T08:08:26.201Z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