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rPr>
          <w:rFonts w:ascii="Times New Roman" w:hAnsi="Times New Roman" w:eastAsia="PMingLiU" w:cs="Times New Roman"/>
          <w:sz w:val="24"/>
          <w:szCs w:val="24"/>
          <w:lang w:eastAsia="en-US"/>
        </w:rPr>
      </w:pPr>
      <w:r>
        <w:rPr>
          <w:rFonts w:ascii="Times New Roman" w:hAnsi="Times New Roman" w:eastAsia="PMingLiU" w:cs="Times New Roman"/>
          <w:sz w:val="24"/>
          <w:szCs w:val="24"/>
          <w:lang w:eastAsia="en-US"/>
        </w:rPr>
        <w:t>USCIS</w:t>
      </w:r>
    </w:p>
    <w:p>
      <w:pPr>
        <w:spacing w:after="0" w:line="240" w:lineRule="auto"/>
        <w:rPr>
          <w:rFonts w:ascii="Times New Roman" w:hAnsi="Times New Roman" w:eastAsia="PMingLiU" w:cs="Times New Roman"/>
          <w:sz w:val="24"/>
          <w:szCs w:val="24"/>
          <w:lang w:eastAsia="en-US"/>
        </w:rPr>
      </w:pPr>
      <w:r>
        <w:rPr>
          <w:rFonts w:ascii="Times New Roman" w:hAnsi="Times New Roman" w:eastAsia="PMingLiU" w:cs="Times New Roman"/>
          <w:sz w:val="24"/>
          <w:szCs w:val="24"/>
          <w:lang w:eastAsia="en-US"/>
        </w:rPr>
        <w:t>Attn: I-140</w:t>
      </w:r>
    </w:p>
    <w:p>
      <w:pPr>
        <w:spacing w:after="0" w:line="240" w:lineRule="auto"/>
        <w:rPr>
          <w:rFonts w:ascii="Times New Roman" w:hAnsi="Times New Roman" w:eastAsia="PMingLiU" w:cs="Times New Roman"/>
          <w:sz w:val="24"/>
          <w:szCs w:val="24"/>
          <w:lang w:eastAsia="en-US"/>
        </w:rPr>
      </w:pPr>
      <w:r>
        <w:rPr>
          <w:rFonts w:ascii="Times New Roman" w:hAnsi="Times New Roman" w:eastAsia="PMingLiU" w:cs="Times New Roman"/>
          <w:sz w:val="24"/>
          <w:szCs w:val="24"/>
          <w:lang w:eastAsia="en-US"/>
        </w:rPr>
        <w:t>2501 S. State Highway 121 Business</w:t>
      </w:r>
    </w:p>
    <w:p>
      <w:pPr>
        <w:spacing w:after="0" w:line="240" w:lineRule="auto"/>
        <w:rPr>
          <w:rFonts w:ascii="Times New Roman" w:hAnsi="Times New Roman" w:eastAsia="PMingLiU" w:cs="Times New Roman"/>
          <w:sz w:val="24"/>
          <w:szCs w:val="24"/>
          <w:lang w:eastAsia="en-US"/>
        </w:rPr>
      </w:pPr>
      <w:r>
        <w:rPr>
          <w:rFonts w:ascii="Times New Roman" w:hAnsi="Times New Roman" w:eastAsia="PMingLiU" w:cs="Times New Roman"/>
          <w:sz w:val="24"/>
          <w:szCs w:val="24"/>
          <w:lang w:eastAsia="en-US"/>
        </w:rPr>
        <w:t>Suite 400</w:t>
      </w:r>
    </w:p>
    <w:p>
      <w:pPr>
        <w:spacing w:after="0" w:line="240" w:lineRule="auto"/>
        <w:rPr>
          <w:rFonts w:ascii="Times New Roman" w:hAnsi="Times New Roman" w:eastAsia="PMingLiU" w:cs="Times New Roman"/>
          <w:sz w:val="24"/>
          <w:szCs w:val="24"/>
          <w:lang w:eastAsia="en-US"/>
        </w:rPr>
      </w:pPr>
      <w:r>
        <w:rPr>
          <w:rFonts w:ascii="Times New Roman" w:hAnsi="Times New Roman" w:eastAsia="PMingLiU" w:cs="Times New Roman"/>
          <w:sz w:val="24"/>
          <w:szCs w:val="24"/>
          <w:lang w:eastAsia="en-US"/>
        </w:rPr>
        <w:t>Lewisville, TX 75067</w:t>
      </w:r>
    </w:p>
    <w:p>
      <w:pPr>
        <w:spacing w:after="0" w:line="240" w:lineRule="auto"/>
        <w:rPr>
          <w:rFonts w:ascii="Times New Roman" w:hAnsi="Times New Roman" w:eastAsia="PMingLiU" w:cs="Times New Roman"/>
          <w:sz w:val="24"/>
          <w:szCs w:val="24"/>
          <w:lang w:eastAsia="en-US"/>
        </w:rPr>
      </w:pPr>
    </w:p>
    <w:p>
      <w:pPr>
        <w:spacing w:after="200" w:line="240" w:lineRule="auto"/>
        <w:rPr>
          <w:rFonts w:ascii="Times New Roman" w:hAnsi="Times New Roman" w:eastAsia="PMingLiU" w:cs="Times New Roman"/>
          <w:b/>
          <w:sz w:val="24"/>
          <w:szCs w:val="24"/>
          <w:lang w:eastAsia="en-US"/>
        </w:rPr>
      </w:pPr>
      <w:r>
        <w:rPr>
          <w:rFonts w:ascii="Times New Roman" w:hAnsi="Times New Roman" w:eastAsia="PMingLiU" w:cs="Times New Roman"/>
          <w:b/>
          <w:sz w:val="24"/>
          <w:szCs w:val="24"/>
          <w:lang w:eastAsia="en-US"/>
        </w:rPr>
        <w:t>RE: Immigrant Petition for Alien Worker</w:t>
      </w:r>
    </w:p>
    <w:p>
      <w:pPr>
        <w:spacing w:after="200" w:line="240" w:lineRule="auto"/>
        <w:ind w:left="1440"/>
        <w:rPr>
          <w:rFonts w:hint="default" w:ascii="Times New Roman" w:hAnsi="Times New Roman" w:eastAsia="PMingLiU" w:cs="Times New Roman"/>
          <w:b/>
          <w:sz w:val="24"/>
          <w:szCs w:val="24"/>
          <w:lang w:val="en-US" w:eastAsia="zh-CN"/>
        </w:rPr>
      </w:pPr>
      <w:r>
        <w:rPr>
          <w:rFonts w:ascii="Times New Roman" w:hAnsi="Times New Roman" w:eastAsia="PMingLiU" w:cs="Times New Roman"/>
          <w:b/>
          <w:sz w:val="24"/>
          <w:szCs w:val="24"/>
          <w:lang w:eastAsia="en-US"/>
        </w:rPr>
        <w:t>Petitioner/Beneficiary:</w:t>
      </w:r>
      <w:r>
        <w:rPr>
          <w:rFonts w:ascii="Times New Roman" w:hAnsi="Times New Roman" w:eastAsia="PMingLiU" w:cs="Times New Roman"/>
          <w:b/>
          <w:sz w:val="24"/>
          <w:szCs w:val="24"/>
          <w:lang w:eastAsia="en-US"/>
        </w:rPr>
        <w:tab/>
      </w:r>
      <w:r>
        <w:rPr>
          <w:rFonts w:hint="eastAsia" w:ascii="Times New Roman" w:hAnsi="Times New Roman" w:eastAsia="PMingLiU" w:cs="Times New Roman"/>
          <w:b/>
          <w:sz w:val="24"/>
          <w:szCs w:val="24"/>
          <w:lang w:val="en-US" w:eastAsia="zh-CN"/>
        </w:rPr>
        <w:t>Ze</w:t>
      </w:r>
      <w:r>
        <w:rPr>
          <w:rFonts w:hint="default" w:ascii="Times New Roman" w:hAnsi="Times New Roman" w:eastAsia="PMingLiU" w:cs="Times New Roman"/>
          <w:b/>
          <w:sz w:val="24"/>
          <w:szCs w:val="24"/>
          <w:lang w:val="en-US" w:eastAsia="zh-CN"/>
        </w:rPr>
        <w:t xml:space="preserve"> Liu</w:t>
      </w:r>
    </w:p>
    <w:p>
      <w:pPr>
        <w:spacing w:after="200" w:line="240" w:lineRule="auto"/>
        <w:ind w:left="1440"/>
        <w:rPr>
          <w:rFonts w:ascii="Times New Roman" w:hAnsi="Times New Roman" w:eastAsia="PMingLiU" w:cs="Times New Roman"/>
          <w:b/>
          <w:sz w:val="24"/>
          <w:szCs w:val="24"/>
          <w:lang w:eastAsia="en-US"/>
        </w:rPr>
      </w:pPr>
      <w:r>
        <w:rPr>
          <w:rFonts w:ascii="Times New Roman" w:hAnsi="Times New Roman" w:eastAsia="PMingLiU" w:cs="Times New Roman"/>
          <w:b/>
          <w:sz w:val="24"/>
          <w:szCs w:val="24"/>
          <w:lang w:eastAsia="en-US"/>
        </w:rPr>
        <w:t>Type of Petition:</w:t>
      </w:r>
      <w:r>
        <w:rPr>
          <w:rFonts w:ascii="Times New Roman" w:hAnsi="Times New Roman" w:eastAsia="PMingLiU" w:cs="Times New Roman"/>
          <w:b/>
          <w:sz w:val="24"/>
          <w:szCs w:val="24"/>
          <w:lang w:eastAsia="en-US"/>
        </w:rPr>
        <w:tab/>
      </w:r>
      <w:r>
        <w:rPr>
          <w:rFonts w:ascii="Times New Roman" w:hAnsi="Times New Roman" w:eastAsia="PMingLiU" w:cs="Times New Roman"/>
          <w:b/>
          <w:sz w:val="24"/>
          <w:szCs w:val="24"/>
          <w:lang w:eastAsia="en-US"/>
        </w:rPr>
        <w:tab/>
      </w:r>
      <w:r>
        <w:rPr>
          <w:rFonts w:ascii="Times New Roman" w:hAnsi="Times New Roman" w:eastAsia="PMingLiU" w:cs="Times New Roman"/>
          <w:b/>
          <w:sz w:val="24"/>
          <w:szCs w:val="24"/>
          <w:lang w:eastAsia="en-US"/>
        </w:rPr>
        <w:t>I-140</w:t>
      </w:r>
    </w:p>
    <w:p>
      <w:pPr>
        <w:spacing w:after="0" w:line="240" w:lineRule="auto"/>
        <w:ind w:left="1440"/>
        <w:rPr>
          <w:rFonts w:ascii="Times New Roman" w:hAnsi="Times New Roman" w:eastAsia="PMingLiU" w:cs="Times New Roman"/>
          <w:b/>
          <w:sz w:val="24"/>
          <w:szCs w:val="24"/>
          <w:lang w:eastAsia="en-US"/>
        </w:rPr>
      </w:pPr>
      <w:r>
        <w:rPr>
          <w:rFonts w:ascii="Times New Roman" w:hAnsi="Times New Roman" w:eastAsia="PMingLiU" w:cs="Times New Roman"/>
          <w:b/>
          <w:sz w:val="24"/>
          <w:szCs w:val="24"/>
          <w:lang w:eastAsia="en-US"/>
        </w:rPr>
        <w:t>Classification Sought:</w:t>
      </w:r>
      <w:r>
        <w:rPr>
          <w:rFonts w:ascii="Times New Roman" w:hAnsi="Times New Roman" w:eastAsia="PMingLiU" w:cs="Times New Roman"/>
          <w:b/>
          <w:sz w:val="24"/>
          <w:szCs w:val="24"/>
          <w:lang w:eastAsia="en-US"/>
        </w:rPr>
        <w:tab/>
      </w:r>
      <w:r>
        <w:rPr>
          <w:rFonts w:ascii="Times New Roman" w:hAnsi="Times New Roman" w:eastAsia="PMingLiU" w:cs="Times New Roman"/>
          <w:b/>
          <w:sz w:val="24"/>
          <w:szCs w:val="24"/>
          <w:lang w:eastAsia="en-US"/>
        </w:rPr>
        <w:t>INA §203(b)(2)(B)</w:t>
      </w:r>
    </w:p>
    <w:p>
      <w:pPr>
        <w:spacing w:after="200" w:line="240" w:lineRule="auto"/>
        <w:ind w:left="4320"/>
        <w:rPr>
          <w:rFonts w:ascii="Times New Roman" w:hAnsi="Times New Roman" w:eastAsia="PMingLiU" w:cs="Times New Roman"/>
          <w:b/>
          <w:sz w:val="24"/>
          <w:szCs w:val="24"/>
          <w:lang w:eastAsia="en-US"/>
        </w:rPr>
      </w:pPr>
      <w:r>
        <w:rPr>
          <w:rFonts w:ascii="Times New Roman" w:hAnsi="Times New Roman" w:eastAsia="PMingLiU" w:cs="Times New Roman"/>
          <w:b/>
          <w:sz w:val="24"/>
          <w:szCs w:val="24"/>
          <w:lang w:eastAsia="en-US"/>
        </w:rPr>
        <w:t>National Interest Waiver</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petition is submitted on behalf of Ms. Ze Liu in support of her request for classification under the employment-based second preference (EB-2) category as a professional holding an advanced degree, and for a waiver of the job offer and labor certification requirements in the national interest.</w:t>
      </w:r>
    </w:p>
    <w:p>
      <w:pPr>
        <w:pStyle w:val="11"/>
        <w:keepNext w:val="0"/>
        <w:keepLines w:val="0"/>
        <w:widowControl/>
        <w:suppressLineNumbers w:val="0"/>
      </w:pPr>
      <w:r>
        <w:t xml:space="preserve">Ms. Liu is an </w:t>
      </w:r>
      <w:r>
        <w:rPr>
          <w:rFonts w:hint="default"/>
          <w:lang w:val="en-US"/>
        </w:rPr>
        <w:t>a</w:t>
      </w:r>
      <w:r>
        <w:t>ttorney serving as a public defender in Washington State, where she provides essential legal representation to indigent defendants in misdemeanor</w:t>
      </w:r>
      <w:r>
        <w:rPr>
          <w:rFonts w:hint="default"/>
          <w:lang w:val="en-US"/>
        </w:rPr>
        <w:t xml:space="preserve">, </w:t>
      </w:r>
      <w:r>
        <w:t xml:space="preserve">gross misdemeanor </w:t>
      </w:r>
      <w:r>
        <w:rPr>
          <w:rFonts w:hint="default"/>
          <w:lang w:val="en-US"/>
        </w:rPr>
        <w:t xml:space="preserve">and felony </w:t>
      </w:r>
      <w:r>
        <w:t xml:space="preserve">criminal proceedings. </w:t>
      </w:r>
    </w:p>
    <w:p>
      <w:pPr>
        <w:pStyle w:val="11"/>
        <w:keepNext w:val="0"/>
        <w:keepLines w:val="0"/>
        <w:widowControl/>
        <w:suppressLineNumbers w:val="0"/>
        <w:rPr>
          <w:rFonts w:hint="default" w:ascii="Times New Roman Regular" w:hAnsi="Times New Roman Regular" w:cs="Times New Roman Regular"/>
          <w:sz w:val="24"/>
          <w:szCs w:val="24"/>
        </w:rPr>
      </w:pPr>
      <w:r>
        <w:t xml:space="preserve">In this role, Ms. Liu advances the fundamental constitutional guarantee of the Sixth Amendment by ensuring that economically disadvantaged individuals receive effective assistance of counsel. Her work directly addresses systemic disparities in access to justice and contributes to the fair administration of the criminal legal system. </w:t>
      </w:r>
      <w:r>
        <w:rPr>
          <w:rFonts w:hint="default"/>
          <w:lang w:val="en-US"/>
        </w:rPr>
        <w:t>T</w:t>
      </w:r>
      <w:r>
        <w:t>hese</w:t>
      </w:r>
      <w:r>
        <w:rPr>
          <w:rFonts w:hint="default"/>
          <w:lang w:val="en-US"/>
        </w:rPr>
        <w:t xml:space="preserve"> felony and misdemeanor</w:t>
      </w:r>
      <w:r>
        <w:t xml:space="preserve"> cases often carry profound and lasting consequences, including incarceration, criminal records, and significant socioeconomic harm, thereby underscoring the national importance of competent legal representation at this level</w:t>
      </w:r>
      <w:r>
        <w:rPr>
          <w:rFonts w:hint="default" w:ascii="Times New Roman Regular" w:hAnsi="Times New Roman Regular" w:cs="Times New Roman Regular"/>
          <w:sz w:val="24"/>
          <w:szCs w:val="24"/>
        </w:rPr>
        <w:t>.</w:t>
      </w:r>
    </w:p>
    <w:p>
      <w:pPr>
        <w:spacing w:after="200" w:line="240" w:lineRule="auto"/>
        <w:rPr>
          <w:rFonts w:ascii="Times New Roman" w:hAnsi="Times New Roman" w:eastAsia="PMingLiU" w:cs="Times New Roman"/>
          <w:sz w:val="24"/>
          <w:szCs w:val="24"/>
          <w:lang w:eastAsia="en-US"/>
        </w:rPr>
      </w:pPr>
      <w:r>
        <w:rPr>
          <w:rFonts w:hint="default" w:ascii="Times New Roman Regular" w:hAnsi="Times New Roman Regular" w:cs="Times New Roman Regular"/>
          <w:sz w:val="24"/>
          <w:szCs w:val="24"/>
        </w:rPr>
        <w:t xml:space="preserve">As demonstrated herein, </w:t>
      </w:r>
      <w:r>
        <w:rPr>
          <w:rFonts w:hint="default" w:ascii="Times New Roman Regular" w:hAnsi="Times New Roman Regular" w:cs="Times New Roman Regular"/>
          <w:sz w:val="24"/>
          <w:szCs w:val="24"/>
          <w:lang w:val="en-US"/>
        </w:rPr>
        <w:t>t</w:t>
      </w:r>
      <w:r>
        <w:rPr>
          <w:rFonts w:ascii="Times New Roman" w:hAnsi="Times New Roman" w:eastAsia="PMingLiU" w:cs="Times New Roman"/>
          <w:sz w:val="24"/>
          <w:szCs w:val="24"/>
          <w:lang w:eastAsia="en-US"/>
        </w:rPr>
        <w:t xml:space="preserve">he submitted evidence demonstrates that </w:t>
      </w:r>
      <w:r>
        <w:rPr>
          <w:rFonts w:hint="default" w:ascii="Times New Roman" w:hAnsi="Times New Roman" w:eastAsia="PMingLiU" w:cs="Times New Roman"/>
          <w:sz w:val="24"/>
          <w:szCs w:val="24"/>
          <w:lang w:val="en-US" w:eastAsia="en-US"/>
        </w:rPr>
        <w:t>Ms. Liu</w:t>
      </w:r>
      <w:r>
        <w:rPr>
          <w:rFonts w:ascii="Times New Roman" w:hAnsi="Times New Roman" w:eastAsia="PMingLiU" w:cs="Times New Roman"/>
          <w:sz w:val="24"/>
          <w:szCs w:val="24"/>
          <w:lang w:eastAsia="en-US"/>
        </w:rPr>
        <w:t xml:space="preserve"> qualifies for a national interest waiver under the analytical framework set forth in </w:t>
      </w:r>
      <w:r>
        <w:rPr>
          <w:rFonts w:ascii="Times New Roman" w:hAnsi="Times New Roman" w:eastAsia="PMingLiU" w:cs="Times New Roman"/>
          <w:i/>
          <w:sz w:val="24"/>
          <w:szCs w:val="24"/>
          <w:lang w:eastAsia="en-US"/>
        </w:rPr>
        <w:t>Matter of DHANASAR</w:t>
      </w:r>
      <w:r>
        <w:rPr>
          <w:rFonts w:ascii="Times New Roman" w:hAnsi="Times New Roman" w:eastAsia="PMingLiU" w:cs="Times New Roman"/>
          <w:sz w:val="24"/>
          <w:szCs w:val="24"/>
          <w:lang w:eastAsia="en-US"/>
        </w:rPr>
        <w:t>, 26 I&amp;N Dec. 884 (AAO 2016). Specifically, the submitted evidence will prove:</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200" w:line="240" w:lineRule="auto"/>
        <w:ind w:left="1800" w:hanging="360"/>
        <w:rPr>
          <w:rFonts w:ascii="Times New Roman" w:hAnsi="Times New Roman" w:eastAsia="PMingLiU" w:cs="Times New Roman"/>
          <w:color w:val="000000"/>
          <w:sz w:val="24"/>
          <w:szCs w:val="24"/>
          <w:lang w:eastAsia="en-US"/>
        </w:rPr>
      </w:pPr>
      <w:r>
        <w:rPr>
          <w:rFonts w:hint="default" w:ascii="Times New Roman" w:hAnsi="Times New Roman" w:eastAsia="PMingLiU" w:cs="Times New Roman"/>
          <w:sz w:val="24"/>
          <w:szCs w:val="24"/>
          <w:lang w:val="en-US" w:eastAsia="en-US"/>
        </w:rPr>
        <w:t>Ms. Liu</w:t>
      </w:r>
      <w:r>
        <w:rPr>
          <w:rFonts w:ascii="Times New Roman" w:hAnsi="Times New Roman" w:eastAsia="PMingLiU" w:cs="Times New Roman"/>
          <w:color w:val="000000"/>
          <w:sz w:val="24"/>
          <w:szCs w:val="24"/>
          <w:lang w:eastAsia="en-US"/>
        </w:rPr>
        <w:t xml:space="preserve"> is a member of the professions holding an advanced degree;</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200" w:line="240" w:lineRule="auto"/>
        <w:ind w:left="1800" w:hanging="360"/>
        <w:rPr>
          <w:rFonts w:ascii="Times New Roman" w:hAnsi="Times New Roman" w:eastAsia="PMingLiU" w:cs="Times New Roman"/>
          <w:color w:val="000000"/>
          <w:sz w:val="24"/>
          <w:szCs w:val="24"/>
          <w:lang w:eastAsia="en-US"/>
        </w:rPr>
      </w:pPr>
      <w:r>
        <w:rPr>
          <w:rFonts w:hint="default" w:ascii="Times New Roman" w:hAnsi="Times New Roman" w:eastAsia="PMingLiU" w:cs="Times New Roman"/>
          <w:sz w:val="24"/>
          <w:szCs w:val="24"/>
          <w:lang w:val="en-US" w:eastAsia="en-US"/>
        </w:rPr>
        <w:t>Ms. Liu</w:t>
      </w:r>
      <w:r>
        <w:rPr>
          <w:rFonts w:ascii="Times New Roman" w:hAnsi="Times New Roman" w:eastAsia="PMingLiU" w:cs="Times New Roman"/>
          <w:color w:val="000000"/>
          <w:sz w:val="24"/>
          <w:szCs w:val="24"/>
          <w:lang w:eastAsia="en-US"/>
        </w:rPr>
        <w:t>’s proposed endeavor has both substantial merit and national importance;</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200" w:line="240" w:lineRule="auto"/>
        <w:ind w:left="1800" w:hanging="360"/>
        <w:rPr>
          <w:rFonts w:ascii="Times New Roman" w:hAnsi="Times New Roman" w:eastAsia="PMingLiU" w:cs="Times New Roman"/>
          <w:color w:val="000000"/>
          <w:sz w:val="24"/>
          <w:szCs w:val="24"/>
          <w:lang w:eastAsia="en-US"/>
        </w:rPr>
      </w:pPr>
      <w:r>
        <w:rPr>
          <w:rFonts w:hint="default" w:ascii="Times New Roman" w:hAnsi="Times New Roman" w:eastAsia="PMingLiU" w:cs="Times New Roman"/>
          <w:sz w:val="24"/>
          <w:szCs w:val="24"/>
          <w:lang w:val="en-US" w:eastAsia="en-US"/>
        </w:rPr>
        <w:t>Ms. Liu</w:t>
      </w:r>
      <w:r>
        <w:rPr>
          <w:rFonts w:ascii="Times New Roman" w:hAnsi="Times New Roman" w:eastAsia="PMingLiU" w:cs="Times New Roman"/>
          <w:color w:val="000000"/>
          <w:sz w:val="24"/>
          <w:szCs w:val="24"/>
          <w:lang w:eastAsia="en-US"/>
        </w:rPr>
        <w:t xml:space="preserve"> is well positioned to advance the proposed endeavor; and</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200" w:line="240" w:lineRule="auto"/>
        <w:ind w:left="1800" w:hanging="360"/>
        <w:rPr>
          <w:rFonts w:ascii="Times New Roman" w:hAnsi="Times New Roman" w:eastAsia="PMingLiU" w:cs="Times New Roman"/>
          <w:color w:val="000000"/>
          <w:sz w:val="24"/>
          <w:szCs w:val="24"/>
          <w:lang w:eastAsia="en-US"/>
        </w:rPr>
      </w:pPr>
      <w:r>
        <w:rPr>
          <w:rFonts w:ascii="Times New Roman" w:hAnsi="Times New Roman" w:eastAsia="PMingLiU" w:cs="Times New Roman"/>
          <w:color w:val="000000"/>
          <w:sz w:val="24"/>
          <w:szCs w:val="24"/>
          <w:lang w:eastAsia="en-US"/>
        </w:rPr>
        <w:t>On balance, it would be beneficial to the United States to waive the requirements of a job offer and thus of a labor certification.</w:t>
      </w:r>
    </w:p>
    <w:p>
      <w:pPr>
        <w:rPr>
          <w:rFonts w:hint="default" w:ascii="Times New Roman Regular" w:hAnsi="Times New Roman Regular" w:cs="Times New Roman Regular"/>
          <w:sz w:val="24"/>
          <w:szCs w:val="24"/>
        </w:rPr>
        <w:sectPr>
          <w:pgSz w:w="11906" w:h="16838"/>
          <w:pgMar w:top="1440" w:right="1800" w:bottom="1440" w:left="1800" w:header="720" w:footer="720" w:gutter="0"/>
          <w:cols w:space="720" w:num="1"/>
          <w:docGrid w:linePitch="360" w:charSpace="0"/>
        </w:sectPr>
      </w:pPr>
    </w:p>
    <w:p>
      <w:pPr>
        <w:rPr>
          <w:rFonts w:ascii="Times New Roman" w:hAnsi="Times New Roman" w:eastAsia="PMingLiU" w:cs="Times New Roman"/>
          <w:sz w:val="24"/>
          <w:szCs w:val="24"/>
          <w:lang w:eastAsia="en-US"/>
        </w:rPr>
      </w:pPr>
      <w:sdt>
        <w:sdtPr>
          <w:rPr>
            <w:rFonts w:ascii="Times New Roman" w:hAnsi="Times New Roman" w:eastAsia="PMingLiU" w:cs="Times New Roman"/>
            <w:sz w:val="24"/>
            <w:szCs w:val="24"/>
            <w:lang w:val="en-US" w:eastAsia="en-US" w:bidi="ar-SA"/>
          </w:rPr>
          <w:id w:val="1309213436"/>
          <w:docPartObj>
            <w:docPartGallery w:val="Table of Contents"/>
            <w:docPartUnique/>
          </w:docPartObj>
        </w:sdtPr>
        <w:sdtEndPr>
          <w:rPr>
            <w:rFonts w:ascii="Times New Roman" w:hAnsi="Times New Roman" w:eastAsia="PMingLiU" w:cs="Times New Roman"/>
            <w:sz w:val="24"/>
            <w:szCs w:val="24"/>
            <w:lang w:val="en-US" w:eastAsia="en-US" w:bidi="ar-SA"/>
          </w:rPr>
        </w:sdtEndPr>
        <w:sdtContent/>
      </w:sdt>
      <w:r>
        <w:rPr>
          <w:rFonts w:ascii="Times New Roman" w:hAnsi="Times New Roman" w:eastAsia="PMingLiU" w:cs="Times New Roman"/>
          <w:sz w:val="24"/>
          <w:szCs w:val="24"/>
          <w:lang w:eastAsia="en-US"/>
        </w:rPr>
        <w:t xml:space="preserve">Note that the standard of proof for petitions filed for National Interest Waiver cases is the “preponderance of the evidence” standard. See </w:t>
      </w:r>
      <w:r>
        <w:rPr>
          <w:rFonts w:ascii="Times New Roman" w:hAnsi="Times New Roman" w:eastAsia="PMingLiU" w:cs="Times New Roman"/>
          <w:i/>
          <w:sz w:val="24"/>
          <w:szCs w:val="24"/>
          <w:lang w:eastAsia="en-US"/>
        </w:rPr>
        <w:t>Matter of Dhanasar</w:t>
      </w:r>
      <w:r>
        <w:rPr>
          <w:rFonts w:ascii="Times New Roman" w:hAnsi="Times New Roman" w:eastAsia="PMingLiU" w:cs="Times New Roman"/>
          <w:sz w:val="24"/>
          <w:szCs w:val="24"/>
          <w:lang w:eastAsia="en-US"/>
        </w:rPr>
        <w:t xml:space="preserve">, 26 I&amp;N Dec. 884, 889 (AAO 2016). Thus, if the petitioner submits relevant, probative, and credible evidence that leads USCIS to believe that the claim is “more likely than not” or “probably true,” the petitioner has satisfied the standard of proof. Matter of E-M-, 20 I&amp;N Dec. 77, 79-80 (Comm’r 1989); see also </w:t>
      </w:r>
      <w:r>
        <w:rPr>
          <w:rFonts w:ascii="Times New Roman" w:hAnsi="Times New Roman" w:eastAsia="PMingLiU" w:cs="Times New Roman"/>
          <w:i/>
          <w:sz w:val="24"/>
          <w:szCs w:val="24"/>
          <w:lang w:eastAsia="en-US"/>
        </w:rPr>
        <w:t>U.S. v. Cardoza-Fonseca</w:t>
      </w:r>
      <w:r>
        <w:rPr>
          <w:rFonts w:ascii="Times New Roman" w:hAnsi="Times New Roman" w:eastAsia="PMingLiU" w:cs="Times New Roman"/>
          <w:sz w:val="24"/>
          <w:szCs w:val="24"/>
          <w:lang w:eastAsia="en-US"/>
        </w:rPr>
        <w:t>, 480 U.S. 421 (1987) (discussing “more likely than not” as a greater than 50% chance of an occurrence taking place).</w:t>
      </w:r>
    </w:p>
    <w:p>
      <w:pPr>
        <w:rPr>
          <w:rFonts w:ascii="Times New Roman" w:hAnsi="Times New Roman" w:eastAsia="PMingLiU" w:cs="Times New Roman"/>
          <w:sz w:val="24"/>
          <w:szCs w:val="24"/>
          <w:lang w:eastAsia="en-US"/>
        </w:rPr>
      </w:pPr>
    </w:p>
    <w:p>
      <w:pPr>
        <w:keepNext/>
        <w:keepLines/>
        <w:numPr>
          <w:ilvl w:val="0"/>
          <w:numId w:val="2"/>
        </w:numPr>
        <w:spacing w:after="200" w:line="240" w:lineRule="auto"/>
        <w:ind w:left="360" w:hanging="360"/>
        <w:outlineLvl w:val="0"/>
        <w:rPr>
          <w:rFonts w:ascii="Times New Roman" w:hAnsi="Times New Roman" w:eastAsia="SimSun" w:cs="Times New Roman"/>
          <w:b/>
          <w:sz w:val="24"/>
          <w:szCs w:val="32"/>
          <w:lang w:val="en-US" w:eastAsia="en-US" w:bidi="ar-SA"/>
        </w:rPr>
      </w:pPr>
      <w:bookmarkStart w:id="0" w:name="_Toc95718894"/>
      <w:r>
        <w:rPr>
          <w:rFonts w:hint="default" w:ascii="Times New Roman" w:hAnsi="Times New Roman" w:eastAsia="SimSun" w:cs="Times New Roman"/>
          <w:b/>
          <w:sz w:val="24"/>
          <w:szCs w:val="32"/>
          <w:lang w:val="en-US" w:eastAsia="en-US" w:bidi="ar-SA"/>
        </w:rPr>
        <w:t>MS. LIU IS A MEMBER OF THE PROFESSIONS HOLDING AN ADVANCEDDEGREE</w:t>
      </w:r>
      <w:bookmarkEnd w:id="0"/>
    </w:p>
    <w:p>
      <w:pPr>
        <w:spacing w:after="400" w:line="240" w:lineRule="auto"/>
        <w:ind w:firstLine="720"/>
        <w:rPr>
          <w:rFonts w:hint="default" w:ascii="Times New Roman" w:hAnsi="Times New Roman" w:eastAsia="PMingLiU"/>
          <w:sz w:val="24"/>
          <w:szCs w:val="24"/>
          <w:lang w:eastAsia="en-US"/>
        </w:rPr>
      </w:pPr>
      <w:bookmarkStart w:id="1" w:name="_heading=h.3znysh7" w:colFirst="0" w:colLast="0"/>
      <w:bookmarkEnd w:id="1"/>
      <w:r>
        <w:rPr>
          <w:rFonts w:hint="default" w:ascii="Times New Roman" w:hAnsi="Times New Roman" w:eastAsia="PMingLiU"/>
          <w:sz w:val="24"/>
          <w:szCs w:val="24"/>
          <w:lang w:eastAsia="en-US"/>
        </w:rPr>
        <w:t xml:space="preserve">Ms. Liu qualifies as a member of the professions holding an advanced degree pursuant to the EB-2 classification. She holds a Master of Laws (LL.M.) degree from the University of Washington School of Law in the United States, in addition to a Master’s degree in law from </w:t>
      </w:r>
      <w:r>
        <w:rPr>
          <w:rFonts w:hint="eastAsia" w:ascii="Times New Roman" w:hAnsi="Times New Roman" w:eastAsia="PMingLiU"/>
          <w:sz w:val="24"/>
          <w:szCs w:val="24"/>
          <w:lang w:val="en-US" w:eastAsia="zh-CN"/>
        </w:rPr>
        <w:t>N</w:t>
      </w:r>
      <w:r>
        <w:rPr>
          <w:rFonts w:hint="default" w:ascii="Times New Roman" w:hAnsi="Times New Roman" w:eastAsia="PMingLiU"/>
          <w:sz w:val="24"/>
          <w:szCs w:val="24"/>
          <w:lang w:val="en-US" w:eastAsia="zh-CN"/>
        </w:rPr>
        <w:t>o</w:t>
      </w:r>
      <w:r>
        <w:rPr>
          <w:rFonts w:hint="eastAsia" w:ascii="Times New Roman" w:hAnsi="Times New Roman" w:eastAsia="PMingLiU"/>
          <w:sz w:val="24"/>
          <w:szCs w:val="24"/>
          <w:lang w:val="en-US" w:eastAsia="zh-CN"/>
        </w:rPr>
        <w:t>rthwest</w:t>
      </w:r>
      <w:r>
        <w:rPr>
          <w:rFonts w:hint="default" w:ascii="Times New Roman" w:hAnsi="Times New Roman" w:eastAsia="PMingLiU"/>
          <w:sz w:val="24"/>
          <w:szCs w:val="24"/>
          <w:lang w:eastAsia="en-US"/>
        </w:rPr>
        <w:t xml:space="preserve"> </w:t>
      </w:r>
      <w:r>
        <w:rPr>
          <w:rFonts w:hint="default" w:ascii="Times New Roman" w:hAnsi="Times New Roman" w:eastAsia="PMingLiU"/>
          <w:sz w:val="24"/>
          <w:szCs w:val="24"/>
          <w:lang w:val="en-US" w:eastAsia="en-US"/>
        </w:rPr>
        <w:t xml:space="preserve">University </w:t>
      </w:r>
      <w:r>
        <w:rPr>
          <w:rFonts w:hint="default" w:ascii="Times New Roman" w:hAnsi="Times New Roman" w:eastAsia="PMingLiU"/>
          <w:sz w:val="24"/>
          <w:szCs w:val="24"/>
          <w:lang w:eastAsia="en-US"/>
        </w:rPr>
        <w:t>in China.</w:t>
      </w:r>
    </w:p>
    <w:p>
      <w:pPr>
        <w:spacing w:after="400" w:line="240" w:lineRule="auto"/>
        <w:ind w:firstLine="720"/>
        <w:rPr>
          <w:rFonts w:hint="default" w:ascii="Times New Roman Regular" w:hAnsi="Times New Roman Regular" w:cs="Times New Roman Regular"/>
          <w:sz w:val="24"/>
          <w:szCs w:val="24"/>
        </w:rPr>
      </w:pPr>
      <w:r>
        <w:rPr>
          <w:rFonts w:hint="default" w:ascii="Times New Roman" w:hAnsi="Times New Roman" w:eastAsia="PMingLiU"/>
          <w:sz w:val="24"/>
          <w:szCs w:val="24"/>
          <w:lang w:eastAsia="en-US"/>
        </w:rPr>
        <w:t>Her advanced academic training in both domestic and international legal systems provides her with a strong foundation for analyzing complex legal issues and contributes directly to her ability to advance her proposed endeavor in the United States. Accordingly, Ms. Liu clearly meets the threshold requirement for EB-2 classification.</w:t>
      </w:r>
      <w:r>
        <w:rPr>
          <w:rFonts w:hint="default" w:ascii="Times New Roman" w:hAnsi="Times New Roman" w:eastAsia="PMingLiU"/>
          <w:sz w:val="24"/>
          <w:szCs w:val="24"/>
          <w:lang w:val="en-US" w:eastAsia="en-US"/>
        </w:rPr>
        <w:t xml:space="preserve"> As evidence of this, we are submitting copies of Ms. Liu’s diploma and transcripts, and awards (Exhibit 6). </w:t>
      </w:r>
    </w:p>
    <w:p>
      <w:pPr>
        <w:rPr>
          <w:b/>
          <w:bCs/>
        </w:rPr>
      </w:pPr>
      <w:r>
        <w:rPr>
          <w:rFonts w:hint="default" w:ascii="Times New Roman Regular" w:hAnsi="Times New Roman Regular" w:cs="Times New Roman Regular"/>
          <w:b/>
          <w:bCs/>
          <w:sz w:val="24"/>
          <w:szCs w:val="24"/>
        </w:rPr>
        <w:t>II. PROPOSED ENDEAVOR</w:t>
      </w:r>
    </w:p>
    <w:p>
      <w:pPr>
        <w:pStyle w:val="11"/>
        <w:keepNext w:val="0"/>
        <w:keepLines w:val="0"/>
        <w:widowControl/>
        <w:suppressLineNumbers w:val="0"/>
        <w:rPr>
          <w:rFonts w:hint="default"/>
          <w:b/>
          <w:bCs/>
        </w:rPr>
      </w:pPr>
      <w:r>
        <w:rPr>
          <w:rFonts w:hint="default"/>
          <w:b/>
          <w:bCs/>
        </w:rPr>
        <w:t>Ms. Liu’s proposed endeavor is to advance the quality, consistency, and effectiveness of indigent criminal defense services in the United States by delivering high-quality legal representation in high-volume, resource-constrained public defense settings and by developing and promoting effective, replicable practices that enhance access to constitutionally effective counsel for underserved populations.</w:t>
      </w:r>
    </w:p>
    <w:p>
      <w:pPr>
        <w:pStyle w:val="11"/>
        <w:keepNext w:val="0"/>
        <w:keepLines w:val="0"/>
        <w:widowControl/>
        <w:suppressLineNumbers w:val="0"/>
      </w:pPr>
      <w:r>
        <w:t>This endeavor focuses on improving the delivery of indigent criminal defense services in high-volume public defense systems. Rather than concentrating solely on the representation of individual defendants, the endeavor emphasizes the development of practical, evidence-based, and replicable approaches that strengthen the quality, consistency, and efficiency of public defense services in resource-constrained environments. These approaches include enhancing strategic case management, litigation practices, attorney-client communication, and interdisciplinary collaboration in ways that can be adapted by similarly situated public defense offices across the United States. By improving the quality and consistency of indigent criminal defense, this endeavor seeks to expand meaningful access to constitutionally effective counsel while supporting a more efficient, equitable, and reliable criminal justice system.</w:t>
      </w:r>
    </w:p>
    <w:p>
      <w:pPr>
        <w:pStyle w:val="11"/>
        <w:keepNext w:val="0"/>
        <w:keepLines w:val="0"/>
        <w:widowControl/>
        <w:suppressLineNumbers w:val="0"/>
        <w:rPr>
          <w:rFonts w:hint="default"/>
          <w:b/>
          <w:bCs/>
        </w:rPr>
      </w:pPr>
      <w:r>
        <w:rPr>
          <w:rFonts w:hint="default"/>
          <w:b/>
          <w:bCs/>
        </w:rPr>
        <w:t>III. SUBSTANTIAL MERIT AND NATIONAL IMPORTANCE</w:t>
      </w:r>
    </w:p>
    <w:p>
      <w:pPr>
        <w:pStyle w:val="11"/>
        <w:keepNext w:val="0"/>
        <w:keepLines w:val="0"/>
        <w:widowControl/>
        <w:suppressLineNumbers w:val="0"/>
        <w:rPr>
          <w:rFonts w:hint="default"/>
          <w:b/>
          <w:bCs/>
        </w:rPr>
      </w:pPr>
      <w:r>
        <w:rPr>
          <w:rFonts w:hint="default"/>
          <w:b/>
          <w:bCs/>
        </w:rPr>
        <w:t>A. SUBSTANTIAL MERIT OF THE PROPOSED ENDEAVOR</w:t>
      </w:r>
    </w:p>
    <w:p>
      <w:pPr>
        <w:pStyle w:val="11"/>
        <w:keepNext w:val="0"/>
        <w:keepLines w:val="0"/>
        <w:widowControl/>
        <w:suppressLineNumbers w:val="0"/>
        <w:rPr>
          <w:rFonts w:hint="default"/>
        </w:rPr>
      </w:pPr>
    </w:p>
    <w:p>
      <w:pPr>
        <w:pStyle w:val="11"/>
        <w:keepNext w:val="0"/>
        <w:keepLines w:val="0"/>
        <w:widowControl/>
        <w:suppressLineNumbers w:val="0"/>
        <w:rPr>
          <w:rFonts w:hint="default"/>
        </w:rPr>
      </w:pPr>
      <w:r>
        <w:rPr>
          <w:rFonts w:hint="default"/>
        </w:rPr>
        <w:t>The proposed endeavor to advance the quality, consistency, and effectiveness of indigent criminal defense services in the United States has substantial merit because it directly strengthens constitutional protections, improves the accuracy and fairness of criminal adjudication, and enhances the operational integrity of the U.S. justice system. Indigent defense is not limited to individual legal representation; it functions as a structural mechanism through which core constitutional guarantees are implemented in practice across the criminal justice system.</w:t>
      </w:r>
    </w:p>
    <w:p>
      <w:pPr>
        <w:pStyle w:val="11"/>
        <w:keepNext w:val="0"/>
        <w:keepLines w:val="0"/>
        <w:widowControl/>
        <w:suppressLineNumbers w:val="0"/>
        <w:rPr>
          <w:rFonts w:hint="default"/>
          <w:b/>
          <w:bCs/>
        </w:rPr>
      </w:pPr>
      <w:r>
        <w:rPr>
          <w:rFonts w:hint="default"/>
          <w:b/>
          <w:bCs/>
        </w:rPr>
        <w:t>1. Constitutional Value: Safeguarding Fundamental Legal Protections</w:t>
      </w:r>
    </w:p>
    <w:p>
      <w:pPr>
        <w:pStyle w:val="11"/>
        <w:keepNext w:val="0"/>
        <w:keepLines w:val="0"/>
        <w:widowControl/>
        <w:suppressLineNumbers w:val="0"/>
        <w:rPr>
          <w:rFonts w:hint="default"/>
        </w:rPr>
      </w:pPr>
      <w:r>
        <w:rPr>
          <w:rFonts w:hint="default"/>
        </w:rPr>
        <w:t xml:space="preserve">The Sixth Amendment guarantees the right to counsel in criminal prosecutions, forming a foundational safeguard of the American justice system. </w:t>
      </w:r>
      <w:r>
        <w:rPr>
          <w:rFonts w:hint="default" w:ascii="Times New Roman Italic" w:hAnsi="Times New Roman Italic" w:cs="Times New Roman Italic"/>
          <w:i/>
          <w:iCs/>
        </w:rPr>
        <w:t>In Gideon v. Wainwright, 372 U.S. 335 (1963)</w:t>
      </w:r>
      <w:r>
        <w:rPr>
          <w:rFonts w:hint="default" w:ascii="Times New Roman Italic" w:hAnsi="Times New Roman Italic" w:cs="Times New Roman Italic"/>
          <w:i/>
          <w:iCs/>
          <w:lang w:val="en-US" w:eastAsia="zh-CN"/>
        </w:rPr>
        <w:t xml:space="preserve"> (</w:t>
      </w:r>
      <w:r>
        <w:rPr>
          <w:rFonts w:hint="default" w:ascii="Times New Roman Italic" w:hAnsi="Times New Roman Italic" w:cs="Times New Roman Italic"/>
          <w:b/>
          <w:bCs/>
          <w:i/>
          <w:iCs/>
          <w:lang w:val="en-US" w:eastAsia="zh-CN"/>
        </w:rPr>
        <w:t>Exhibit 1</w:t>
      </w:r>
      <w:r>
        <w:rPr>
          <w:rFonts w:hint="default" w:ascii="Times New Roman Italic" w:hAnsi="Times New Roman Italic" w:cs="Times New Roman Italic"/>
          <w:i/>
          <w:iCs/>
          <w:lang w:val="en-US" w:eastAsia="zh-CN"/>
        </w:rPr>
        <w:t>)</w:t>
      </w:r>
      <w:r>
        <w:rPr>
          <w:rFonts w:hint="default"/>
        </w:rPr>
        <w:t>, the U.S. Supreme Court held that legal representation is an essential requirement of a fair trial, emphasizing that justice cannot depend on a defendant’s financial capacity. Subsequent jurisprudence has extended this protection to ensure meaningful implementation across all stages of criminal proceedings.</w:t>
      </w:r>
    </w:p>
    <w:p>
      <w:pPr>
        <w:pStyle w:val="11"/>
        <w:keepNext w:val="0"/>
        <w:keepLines w:val="0"/>
        <w:widowControl/>
        <w:suppressLineNumbers w:val="0"/>
        <w:rPr>
          <w:rFonts w:hint="default"/>
        </w:rPr>
      </w:pPr>
      <w:r>
        <w:rPr>
          <w:rFonts w:hint="default"/>
        </w:rPr>
        <w:t>However, the constitutional guarantee is not self-executing. Its practical realization depends on the capacity of indigent defense systems to provide effective representation. As recognized by the Court</w:t>
      </w:r>
      <w:r>
        <w:rPr>
          <w:rFonts w:hint="default" w:ascii="Times New Roman Italic" w:hAnsi="Times New Roman Italic" w:cs="Times New Roman Italic"/>
          <w:i/>
          <w:iCs/>
        </w:rPr>
        <w:t xml:space="preserve"> in Strickland v. Washington, 466 U.S. 668 (1984)</w:t>
      </w:r>
      <w:r>
        <w:rPr>
          <w:rFonts w:hint="default"/>
        </w:rPr>
        <w:t>,</w:t>
      </w:r>
      <w:r>
        <w:rPr>
          <w:rFonts w:hint="default"/>
          <w:lang w:val="en-US"/>
        </w:rPr>
        <w:t xml:space="preserve"> </w:t>
      </w:r>
      <w:r>
        <w:rPr>
          <w:rFonts w:hint="default" w:ascii="Times New Roman Italic" w:hAnsi="Times New Roman Italic" w:cs="Times New Roman Italic"/>
          <w:i/>
          <w:iCs/>
          <w:lang w:val="en-US" w:eastAsia="zh-CN"/>
        </w:rPr>
        <w:t>(</w:t>
      </w:r>
      <w:r>
        <w:rPr>
          <w:rFonts w:hint="default" w:ascii="Times New Roman Italic" w:hAnsi="Times New Roman Italic" w:cs="Times New Roman Italic"/>
          <w:b/>
          <w:bCs/>
          <w:i/>
          <w:iCs/>
          <w:lang w:val="en-US" w:eastAsia="zh-CN"/>
        </w:rPr>
        <w:t>Exhibit 2</w:t>
      </w:r>
      <w:r>
        <w:rPr>
          <w:rFonts w:hint="default" w:ascii="Times New Roman Italic" w:hAnsi="Times New Roman Italic" w:cs="Times New Roman Italic"/>
          <w:i/>
          <w:iCs/>
          <w:lang w:val="en-US" w:eastAsia="zh-CN"/>
        </w:rPr>
        <w:t>)</w:t>
      </w:r>
      <w:r>
        <w:rPr>
          <w:rFonts w:hint="default"/>
        </w:rPr>
        <w:t xml:space="preserve"> the constitutional standard is violated when counsel’s performance undermines the reliability of proceedings. This establishes that the right to counsel is meaningful only when defense representation is competent, adequately resourced, and capable of adversarial testing.</w:t>
      </w:r>
    </w:p>
    <w:p>
      <w:pPr>
        <w:pStyle w:val="11"/>
        <w:keepNext w:val="0"/>
        <w:keepLines w:val="0"/>
        <w:widowControl/>
        <w:suppressLineNumbers w:val="0"/>
        <w:rPr>
          <w:rFonts w:hint="default"/>
        </w:rPr>
      </w:pPr>
      <w:r>
        <w:rPr>
          <w:rFonts w:hint="default"/>
        </w:rPr>
        <w:t>Accordingly, strengthening indigent defense services directly reinforces the enforcement of a core constitutional guarantee, ensuring that procedural rights are not merely formal but functionally effective.</w:t>
      </w:r>
    </w:p>
    <w:p>
      <w:pPr>
        <w:pStyle w:val="11"/>
        <w:keepNext w:val="0"/>
        <w:keepLines w:val="0"/>
        <w:widowControl/>
        <w:suppressLineNumbers w:val="0"/>
        <w:rPr>
          <w:rFonts w:hint="default"/>
        </w:rPr>
      </w:pPr>
      <w:r>
        <w:rPr>
          <w:rFonts w:hint="default"/>
          <w:b/>
          <w:bCs/>
        </w:rPr>
        <w:t>2. Judicial Value: Improving Accuracy and Reliability of Criminal Adjudication</w:t>
      </w:r>
    </w:p>
    <w:p>
      <w:pPr>
        <w:pStyle w:val="11"/>
        <w:keepNext w:val="0"/>
        <w:keepLines w:val="0"/>
        <w:widowControl/>
        <w:suppressLineNumbers w:val="0"/>
        <w:rPr>
          <w:rFonts w:hint="default"/>
        </w:rPr>
      </w:pPr>
      <w:r>
        <w:rPr>
          <w:rFonts w:hint="default"/>
        </w:rPr>
        <w:t>A central judicial value of indigent defense lies in its role in improving the accuracy, fairness, and reliability of criminal adjudication. The effectiveness of the adversarial system depends on whether defense counsel can meaningfully test the prosecution’s case across all stages of litigation.</w:t>
      </w:r>
    </w:p>
    <w:p>
      <w:pPr>
        <w:pStyle w:val="11"/>
        <w:keepNext w:val="0"/>
        <w:keepLines w:val="0"/>
        <w:widowControl/>
        <w:suppressLineNumbers w:val="0"/>
        <w:rPr>
          <w:rFonts w:hint="default"/>
          <w:b w:val="0"/>
          <w:bCs w:val="0"/>
        </w:rPr>
      </w:pPr>
      <w:r>
        <w:rPr>
          <w:rFonts w:hint="default"/>
          <w:b w:val="0"/>
          <w:bCs w:val="0"/>
        </w:rPr>
        <w:t>(a) Preventing Wrongful Convictions</w:t>
      </w:r>
    </w:p>
    <w:p>
      <w:pPr>
        <w:pStyle w:val="11"/>
        <w:keepNext w:val="0"/>
        <w:keepLines w:val="0"/>
        <w:widowControl/>
        <w:suppressLineNumbers w:val="0"/>
        <w:rPr>
          <w:rFonts w:hint="default"/>
          <w:lang w:val="en-US"/>
        </w:rPr>
      </w:pPr>
      <w:r>
        <w:rPr>
          <w:rFonts w:hint="default"/>
        </w:rPr>
        <w:t>Wrongful convictions represent a critical failure of judicial accuracy. Empirical research has consistently identified inadequate defense investigation, limited resources, and high caseloads as contributing factors in wrongful conviction cases. The National Registry of Exonerations has documented that ineffective or insufficient legal defense is a recurring factor in a substantial proportion of exoneration cases in the United States (</w:t>
      </w:r>
      <w:r>
        <w:rPr>
          <w:rFonts w:hint="default" w:ascii="Times New Roman Italic" w:hAnsi="Times New Roman Italic" w:cs="Times New Roman Italic"/>
          <w:i/>
          <w:iCs/>
        </w:rPr>
        <w:t>National Registry of Exonerations, University of Michigan Law School, 2024</w:t>
      </w:r>
      <w:r>
        <w:rPr>
          <w:rFonts w:hint="default"/>
        </w:rPr>
        <w:t>).</w:t>
      </w:r>
      <w:r>
        <w:rPr>
          <w:rFonts w:hint="default"/>
          <w:lang w:val="en-US"/>
        </w:rPr>
        <w:t xml:space="preserve"> </w:t>
      </w:r>
      <w:r>
        <w:rPr>
          <w:rFonts w:hint="default" w:ascii="Times New Roman Italic" w:hAnsi="Times New Roman Italic" w:cs="Times New Roman Italic"/>
          <w:i/>
          <w:iCs/>
          <w:lang w:val="en-US" w:eastAsia="zh-CN"/>
        </w:rPr>
        <w:t>(</w:t>
      </w:r>
      <w:r>
        <w:rPr>
          <w:rFonts w:hint="default" w:ascii="Times New Roman Italic" w:hAnsi="Times New Roman Italic" w:cs="Times New Roman Italic"/>
          <w:b/>
          <w:bCs/>
          <w:i/>
          <w:iCs/>
          <w:lang w:val="en-US" w:eastAsia="zh-CN"/>
        </w:rPr>
        <w:t>Exhibit 3</w:t>
      </w:r>
      <w:r>
        <w:rPr>
          <w:rFonts w:hint="default" w:ascii="Times New Roman Italic" w:hAnsi="Times New Roman Italic" w:cs="Times New Roman Italic"/>
          <w:i/>
          <w:iCs/>
          <w:lang w:val="en-US" w:eastAsia="zh-CN"/>
        </w:rPr>
        <w:t>)</w:t>
      </w:r>
    </w:p>
    <w:p>
      <w:pPr>
        <w:pStyle w:val="11"/>
        <w:keepNext w:val="0"/>
        <w:keepLines w:val="0"/>
        <w:widowControl/>
        <w:suppressLineNumbers w:val="0"/>
        <w:rPr>
          <w:rFonts w:hint="default"/>
        </w:rPr>
      </w:pPr>
    </w:p>
    <w:p>
      <w:pPr>
        <w:pStyle w:val="11"/>
        <w:keepNext w:val="0"/>
        <w:keepLines w:val="0"/>
        <w:widowControl/>
        <w:suppressLineNumbers w:val="0"/>
        <w:rPr>
          <w:rFonts w:hint="default"/>
        </w:rPr>
      </w:pPr>
      <w:r>
        <w:rPr>
          <w:rFonts w:hint="default"/>
        </w:rPr>
        <w:t>These findings demonstrate that defense quality is directly linked to adjudicative accuracy. By ensuring effective case preparation, evidentiary review, and adversarial testing, indigent defense reduces the risk of erroneous convictions and strengthens confidence in judicial outcomes.</w:t>
      </w:r>
    </w:p>
    <w:p>
      <w:pPr>
        <w:pStyle w:val="11"/>
        <w:keepNext w:val="0"/>
        <w:keepLines w:val="0"/>
        <w:widowControl/>
        <w:suppressLineNumbers w:val="0"/>
        <w:rPr>
          <w:rFonts w:hint="default"/>
        </w:rPr>
      </w:pPr>
      <w:r>
        <w:rPr>
          <w:rFonts w:hint="default"/>
        </w:rPr>
        <w:t>(b) Ensuring Fair and Informed Plea Bargaining</w:t>
      </w:r>
    </w:p>
    <w:p>
      <w:pPr>
        <w:pStyle w:val="11"/>
        <w:keepNext w:val="0"/>
        <w:keepLines w:val="0"/>
        <w:widowControl/>
        <w:suppressLineNumbers w:val="0"/>
        <w:rPr>
          <w:rFonts w:hint="default"/>
        </w:rPr>
      </w:pPr>
      <w:r>
        <w:rPr>
          <w:rFonts w:hint="default"/>
        </w:rPr>
        <w:t xml:space="preserve">The majority of criminal convictions in the United States are obtained through plea bargaining rather than trial adjudication, making plea negotiations a central component of judicial decision-making </w:t>
      </w:r>
      <w:r>
        <w:rPr>
          <w:rFonts w:hint="default" w:ascii="Times New Roman Italic" w:hAnsi="Times New Roman Italic" w:cs="Times New Roman Italic"/>
          <w:i/>
          <w:iCs/>
        </w:rPr>
        <w:t>(U.S. Department of Justice, Bureau of Justice Statistics, 2023)</w:t>
      </w:r>
      <w:r>
        <w:rPr>
          <w:rFonts w:hint="default"/>
        </w:rPr>
        <w:t>.</w:t>
      </w:r>
      <w:r>
        <w:rPr>
          <w:rFonts w:hint="default" w:ascii="Times New Roman Italic" w:hAnsi="Times New Roman Italic" w:cs="Times New Roman Italic"/>
          <w:i/>
          <w:iCs/>
          <w:lang w:val="en-US" w:eastAsia="zh-CN"/>
        </w:rPr>
        <w:t>(</w:t>
      </w:r>
      <w:r>
        <w:rPr>
          <w:rFonts w:hint="default" w:ascii="Times New Roman Italic" w:hAnsi="Times New Roman Italic" w:cs="Times New Roman Italic"/>
          <w:b/>
          <w:bCs/>
          <w:i/>
          <w:iCs/>
          <w:lang w:val="en-US" w:eastAsia="zh-CN"/>
        </w:rPr>
        <w:t>Exhibit 4</w:t>
      </w:r>
      <w:r>
        <w:rPr>
          <w:rFonts w:hint="default" w:ascii="Times New Roman Italic" w:hAnsi="Times New Roman Italic" w:cs="Times New Roman Italic"/>
          <w:i/>
          <w:iCs/>
          <w:lang w:val="en-US" w:eastAsia="zh-CN"/>
        </w:rPr>
        <w:t>)</w:t>
      </w:r>
      <w:r>
        <w:rPr>
          <w:rFonts w:hint="default"/>
        </w:rPr>
        <w:t xml:space="preserve"> The Supreme Court has recognized that plea bargaining must meet constitutional standards of effective assistance of counsel.</w:t>
      </w:r>
    </w:p>
    <w:p>
      <w:pPr>
        <w:pStyle w:val="11"/>
        <w:keepNext w:val="0"/>
        <w:keepLines w:val="0"/>
        <w:widowControl/>
        <w:suppressLineNumbers w:val="0"/>
        <w:rPr>
          <w:rFonts w:hint="default"/>
        </w:rPr>
      </w:pPr>
      <w:r>
        <w:rPr>
          <w:rFonts w:hint="default" w:ascii="Times New Roman Italic" w:hAnsi="Times New Roman Italic" w:cs="Times New Roman Italic"/>
          <w:i/>
          <w:iCs/>
        </w:rPr>
        <w:t xml:space="preserve">In Missouri v. Frye, 566 U.S. 134 (2012), </w:t>
      </w:r>
      <w:r>
        <w:rPr>
          <w:rFonts w:hint="default" w:ascii="Times New Roman Italic" w:hAnsi="Times New Roman Italic" w:cs="Times New Roman Italic"/>
          <w:i/>
          <w:iCs/>
          <w:lang w:val="en-US" w:eastAsia="zh-CN"/>
        </w:rPr>
        <w:t>(</w:t>
      </w:r>
      <w:r>
        <w:rPr>
          <w:rFonts w:hint="default" w:ascii="Times New Roman Italic" w:hAnsi="Times New Roman Italic" w:cs="Times New Roman Italic"/>
          <w:b/>
          <w:bCs/>
          <w:i/>
          <w:iCs/>
          <w:lang w:val="en-US" w:eastAsia="zh-CN"/>
        </w:rPr>
        <w:t>Exhibit 5</w:t>
      </w:r>
      <w:r>
        <w:rPr>
          <w:rFonts w:hint="default" w:ascii="Times New Roman Italic" w:hAnsi="Times New Roman Italic" w:cs="Times New Roman Italic"/>
          <w:i/>
          <w:iCs/>
          <w:lang w:val="en-US" w:eastAsia="zh-CN"/>
        </w:rPr>
        <w:t>)</w:t>
      </w:r>
      <w:r>
        <w:rPr>
          <w:rFonts w:hint="default" w:ascii="Times New Roman Italic" w:hAnsi="Times New Roman Italic" w:cs="Times New Roman Italic"/>
          <w:i/>
          <w:iCs/>
        </w:rPr>
        <w:t>and Lafler v. Cooper, 566 U.S. 156 (2012)</w:t>
      </w:r>
      <w:r>
        <w:rPr>
          <w:rFonts w:hint="default"/>
        </w:rPr>
        <w:t xml:space="preserve">, </w:t>
      </w:r>
      <w:r>
        <w:rPr>
          <w:rFonts w:hint="default" w:ascii="Times New Roman Italic" w:hAnsi="Times New Roman Italic" w:cs="Times New Roman Italic"/>
          <w:i/>
          <w:iCs/>
          <w:lang w:val="en-US" w:eastAsia="zh-CN"/>
        </w:rPr>
        <w:t>(</w:t>
      </w:r>
      <w:r>
        <w:rPr>
          <w:rFonts w:hint="default" w:ascii="Times New Roman Italic" w:hAnsi="Times New Roman Italic" w:cs="Times New Roman Italic"/>
          <w:b/>
          <w:bCs/>
          <w:i/>
          <w:iCs/>
          <w:lang w:val="en-US" w:eastAsia="zh-CN"/>
        </w:rPr>
        <w:t>Exhibit 6</w:t>
      </w:r>
      <w:r>
        <w:rPr>
          <w:rFonts w:hint="default" w:ascii="Times New Roman Italic" w:hAnsi="Times New Roman Italic" w:cs="Times New Roman Italic"/>
          <w:i/>
          <w:iCs/>
          <w:lang w:val="en-US" w:eastAsia="zh-CN"/>
        </w:rPr>
        <w:t xml:space="preserve">) </w:t>
      </w:r>
      <w:r>
        <w:rPr>
          <w:rFonts w:hint="default"/>
        </w:rPr>
        <w:t>the Court held that ineffective legal representation during plea negotiations can produce constitutionally deficient outcomes. These decisions underscore that plea bargaining is not merely an administrative process but a critical adjudicative stage requiring competent legal advocacy.</w:t>
      </w:r>
    </w:p>
    <w:p>
      <w:pPr>
        <w:pStyle w:val="11"/>
        <w:keepNext w:val="0"/>
        <w:keepLines w:val="0"/>
        <w:widowControl/>
        <w:suppressLineNumbers w:val="0"/>
        <w:rPr>
          <w:rFonts w:hint="default"/>
        </w:rPr>
      </w:pPr>
      <w:r>
        <w:rPr>
          <w:rFonts w:hint="default"/>
        </w:rPr>
        <w:t>Effective indigent defense ensures that plea decisions are informed, voluntary, and based on accurate legal and evidentiary assessment, thereby improving both fairness and reliability of outcomes.</w:t>
      </w:r>
    </w:p>
    <w:p>
      <w:pPr>
        <w:pStyle w:val="11"/>
        <w:keepNext w:val="0"/>
        <w:keepLines w:val="0"/>
        <w:widowControl/>
        <w:suppressLineNumbers w:val="0"/>
        <w:rPr>
          <w:rFonts w:hint="default"/>
        </w:rPr>
      </w:pPr>
      <w:r>
        <w:rPr>
          <w:rFonts w:hint="default"/>
        </w:rPr>
        <w:t>(c) Ensuring Full Evidence Disclosure and Reliable Adjudication</w:t>
      </w:r>
    </w:p>
    <w:p>
      <w:pPr>
        <w:pStyle w:val="11"/>
        <w:keepNext w:val="0"/>
        <w:keepLines w:val="0"/>
        <w:widowControl/>
        <w:suppressLineNumbers w:val="0"/>
        <w:rPr>
          <w:rFonts w:hint="default"/>
        </w:rPr>
      </w:pPr>
      <w:r>
        <w:rPr>
          <w:rFonts w:hint="default"/>
        </w:rPr>
        <w:t xml:space="preserve">Reliable adjudication depends on complete and transparent evidentiary disclosure. </w:t>
      </w:r>
      <w:r>
        <w:rPr>
          <w:rFonts w:hint="default" w:ascii="Times New Roman Italic" w:hAnsi="Times New Roman Italic" w:cs="Times New Roman Italic"/>
          <w:i/>
          <w:iCs/>
        </w:rPr>
        <w:t>In Brady v. Maryland, 373 U.S. 83 (1963)</w:t>
      </w:r>
      <w:r>
        <w:rPr>
          <w:rFonts w:hint="default" w:ascii="Times New Roman Italic" w:hAnsi="Times New Roman Italic" w:cs="Times New Roman Italic"/>
          <w:i/>
          <w:iCs/>
          <w:lang w:val="en-US"/>
        </w:rPr>
        <w:t xml:space="preserve"> </w:t>
      </w:r>
      <w:r>
        <w:rPr>
          <w:rFonts w:hint="default" w:ascii="Times New Roman Italic" w:hAnsi="Times New Roman Italic" w:cs="Times New Roman Italic"/>
          <w:i/>
          <w:iCs/>
          <w:lang w:val="en-US" w:eastAsia="zh-CN"/>
        </w:rPr>
        <w:t>(</w:t>
      </w:r>
      <w:r>
        <w:rPr>
          <w:rFonts w:hint="default" w:ascii="Times New Roman Italic" w:hAnsi="Times New Roman Italic" w:cs="Times New Roman Italic"/>
          <w:b/>
          <w:bCs/>
          <w:i/>
          <w:iCs/>
          <w:lang w:val="en-US" w:eastAsia="zh-CN"/>
        </w:rPr>
        <w:t>Exhibit 7</w:t>
      </w:r>
      <w:r>
        <w:rPr>
          <w:rFonts w:hint="default" w:ascii="Times New Roman Italic" w:hAnsi="Times New Roman Italic" w:cs="Times New Roman Italic"/>
          <w:i/>
          <w:iCs/>
          <w:lang w:val="en-US" w:eastAsia="zh-CN"/>
        </w:rPr>
        <w:t>),</w:t>
      </w:r>
      <w:r>
        <w:rPr>
          <w:rFonts w:hint="default"/>
        </w:rPr>
        <w:t xml:space="preserve"> the Supreme Court held that suppression of materially favorable evidence violates due process. This obligation was further reinforced </w:t>
      </w:r>
      <w:r>
        <w:rPr>
          <w:rFonts w:hint="default" w:ascii="Times New Roman Italic" w:hAnsi="Times New Roman Italic" w:cs="Times New Roman Italic"/>
          <w:i/>
          <w:iCs/>
        </w:rPr>
        <w:t>in</w:t>
      </w:r>
      <w:r>
        <w:rPr>
          <w:rFonts w:hint="default"/>
        </w:rPr>
        <w:t xml:space="preserve"> </w:t>
      </w:r>
      <w:r>
        <w:rPr>
          <w:rFonts w:hint="default" w:ascii="Times New Roman Italic" w:hAnsi="Times New Roman Italic" w:cs="Times New Roman Italic"/>
          <w:i/>
          <w:iCs/>
        </w:rPr>
        <w:t>Kyles v. Whitley, 514 U.S. 419 (1995)</w:t>
      </w:r>
      <w:r>
        <w:rPr>
          <w:rFonts w:hint="default"/>
        </w:rPr>
        <w:t>,</w:t>
      </w:r>
      <w:r>
        <w:rPr>
          <w:rFonts w:hint="default" w:ascii="Times New Roman Italic" w:hAnsi="Times New Roman Italic" w:cs="Times New Roman Italic"/>
          <w:i/>
          <w:iCs/>
          <w:lang w:val="en-US"/>
        </w:rPr>
        <w:t xml:space="preserve"> (</w:t>
      </w:r>
      <w:r>
        <w:rPr>
          <w:rFonts w:hint="default" w:ascii="Times New Roman Italic" w:hAnsi="Times New Roman Italic" w:cs="Times New Roman Italic"/>
          <w:b/>
          <w:bCs/>
          <w:i/>
          <w:iCs/>
          <w:lang w:val="en-US"/>
        </w:rPr>
        <w:t>Exhibit 8</w:t>
      </w:r>
      <w:r>
        <w:rPr>
          <w:rFonts w:hint="default" w:ascii="Times New Roman Italic" w:hAnsi="Times New Roman Italic" w:cs="Times New Roman Italic"/>
          <w:i/>
          <w:iCs/>
          <w:lang w:val="en-US"/>
        </w:rPr>
        <w:t>),</w:t>
      </w:r>
      <w:r>
        <w:rPr>
          <w:rFonts w:hint="default" w:ascii="Times New Roman Italic" w:hAnsi="Times New Roman Italic" w:cs="Times New Roman Italic"/>
          <w:i/>
          <w:iCs/>
        </w:rPr>
        <w:t xml:space="preserve"> </w:t>
      </w:r>
      <w:r>
        <w:rPr>
          <w:rFonts w:hint="default"/>
        </w:rPr>
        <w:t>which emphasized the prosecution’s duty to disclose material evidence and the importance of adversarial testing in ensuring accuracy.</w:t>
      </w:r>
    </w:p>
    <w:p>
      <w:pPr>
        <w:pStyle w:val="11"/>
        <w:keepNext w:val="0"/>
        <w:keepLines w:val="0"/>
        <w:widowControl/>
        <w:suppressLineNumbers w:val="0"/>
        <w:rPr>
          <w:rFonts w:hint="default"/>
        </w:rPr>
      </w:pPr>
      <w:r>
        <w:rPr>
          <w:rFonts w:hint="default"/>
        </w:rPr>
        <w:t>Indigent defense counsel plays a critical role in operationalizing these constitutional protections by identifying disclosure gaps, pursuing discovery, and challenging incomplete evidentiary production. These functions ensure that judicial determinations are based on a complete and reliable evidentiary record.</w:t>
      </w:r>
    </w:p>
    <w:p>
      <w:pPr>
        <w:pStyle w:val="11"/>
        <w:keepNext w:val="0"/>
        <w:keepLines w:val="0"/>
        <w:widowControl/>
        <w:suppressLineNumbers w:val="0"/>
        <w:rPr>
          <w:rFonts w:hint="default"/>
          <w:b/>
          <w:bCs/>
        </w:rPr>
      </w:pPr>
      <w:r>
        <w:rPr>
          <w:rFonts w:hint="default"/>
          <w:b/>
          <w:bCs/>
        </w:rPr>
        <w:t>3. Institutional Value: Effective Administration of Justice</w:t>
      </w:r>
    </w:p>
    <w:p>
      <w:pPr>
        <w:pStyle w:val="11"/>
        <w:keepNext w:val="0"/>
        <w:keepLines w:val="0"/>
        <w:widowControl/>
        <w:suppressLineNumbers w:val="0"/>
        <w:rPr>
          <w:rFonts w:hint="default"/>
        </w:rPr>
      </w:pPr>
      <w:r>
        <w:rPr>
          <w:rFonts w:hint="default"/>
        </w:rPr>
        <w:t>Beyond individual case outcomes, indigent defense carries substantial institutional value by improving the efficiency and sustainability of the criminal justice system. Its systemic impact is reflected in three interrelated mechanisms: early case assessment, improved case resolution, and reduced unnecessary litigation.</w:t>
      </w:r>
    </w:p>
    <w:p>
      <w:pPr>
        <w:pStyle w:val="11"/>
        <w:keepNext w:val="0"/>
        <w:keepLines w:val="0"/>
        <w:widowControl/>
        <w:suppressLineNumbers w:val="0"/>
        <w:rPr>
          <w:rFonts w:hint="default"/>
        </w:rPr>
      </w:pPr>
      <w:r>
        <w:rPr>
          <w:rFonts w:hint="default"/>
        </w:rPr>
        <w:t>(a) Efficient Courts Through Early Identification of Key Issues</w:t>
      </w:r>
    </w:p>
    <w:p>
      <w:pPr>
        <w:pStyle w:val="11"/>
        <w:keepNext w:val="0"/>
        <w:keepLines w:val="0"/>
        <w:widowControl/>
        <w:suppressLineNumbers w:val="0"/>
        <w:rPr>
          <w:rFonts w:hint="default"/>
        </w:rPr>
      </w:pPr>
      <w:r>
        <w:rPr>
          <w:rFonts w:hint="default"/>
        </w:rPr>
        <w:t>Effective indigent defense enhances judicial efficiency by enabling early identification of legal and factual issues. Defense counsel is often the first actor to evaluate evidentiary strength and constitutional concerns after charges are filed, allowing courts to differentiate between cases requiring full litigation and those suitable for early resolution.</w:t>
      </w:r>
    </w:p>
    <w:p>
      <w:pPr>
        <w:pStyle w:val="11"/>
        <w:keepNext w:val="0"/>
        <w:keepLines w:val="0"/>
        <w:widowControl/>
        <w:suppressLineNumbers w:val="0"/>
        <w:rPr>
          <w:rFonts w:hint="default"/>
        </w:rPr>
      </w:pPr>
      <w:r>
        <w:rPr>
          <w:rFonts w:hint="default"/>
        </w:rPr>
        <w:t xml:space="preserve">Early defense involvement has been associated with reduced case processing time and lower pretrial detention durations </w:t>
      </w:r>
      <w:r>
        <w:rPr>
          <w:rFonts w:hint="default" w:ascii="Times New Roman Italic" w:hAnsi="Times New Roman Italic" w:cs="Times New Roman Italic"/>
          <w:i/>
          <w:iCs/>
        </w:rPr>
        <w:t>(National Legal Aid &amp; Defender Association, 20</w:t>
      </w:r>
      <w:r>
        <w:rPr>
          <w:rFonts w:hint="default" w:ascii="Times New Roman Italic" w:hAnsi="Times New Roman Italic" w:cs="Times New Roman Italic"/>
          <w:i/>
          <w:iCs/>
          <w:lang w:val="en-US"/>
        </w:rPr>
        <w:t>20</w:t>
      </w:r>
      <w:r>
        <w:rPr>
          <w:rFonts w:hint="default"/>
        </w:rPr>
        <w:t>).</w:t>
      </w:r>
      <w:r>
        <w:rPr>
          <w:rFonts w:hint="default"/>
          <w:lang w:val="en-US"/>
        </w:rPr>
        <w:t xml:space="preserve"> </w:t>
      </w:r>
      <w:r>
        <w:rPr>
          <w:rFonts w:hint="default" w:ascii="Times New Roman Italic" w:hAnsi="Times New Roman Italic" w:cs="Times New Roman Italic"/>
          <w:b w:val="0"/>
          <w:bCs w:val="0"/>
          <w:i/>
          <w:iCs/>
          <w:lang w:val="en-US"/>
        </w:rPr>
        <w:t>(</w:t>
      </w:r>
      <w:r>
        <w:rPr>
          <w:rFonts w:hint="default" w:ascii="Times New Roman Italic" w:hAnsi="Times New Roman Italic" w:cs="Times New Roman Italic"/>
          <w:b/>
          <w:bCs/>
          <w:i/>
          <w:iCs/>
          <w:lang w:val="en-US"/>
        </w:rPr>
        <w:t>Exhibit 9</w:t>
      </w:r>
      <w:r>
        <w:rPr>
          <w:rFonts w:hint="default" w:ascii="Times New Roman Italic" w:hAnsi="Times New Roman Italic" w:cs="Times New Roman Italic"/>
          <w:b w:val="0"/>
          <w:bCs w:val="0"/>
          <w:i/>
          <w:iCs/>
          <w:lang w:val="en-US"/>
        </w:rPr>
        <w:t>).</w:t>
      </w:r>
      <w:r>
        <w:rPr>
          <w:rFonts w:hint="default"/>
        </w:rPr>
        <w:t xml:space="preserve"> This improves judicial triage, reduces backlog, and enhances the efficiency of court operations.</w:t>
      </w:r>
    </w:p>
    <w:p>
      <w:pPr>
        <w:pStyle w:val="11"/>
        <w:keepNext w:val="0"/>
        <w:keepLines w:val="0"/>
        <w:widowControl/>
        <w:suppressLineNumbers w:val="0"/>
        <w:rPr>
          <w:rFonts w:hint="default"/>
        </w:rPr>
      </w:pPr>
      <w:r>
        <w:rPr>
          <w:rFonts w:hint="default"/>
        </w:rPr>
        <w:t>(b) Better Case Resolution Through Informed Decision-Making</w:t>
      </w:r>
    </w:p>
    <w:p>
      <w:pPr>
        <w:pStyle w:val="11"/>
        <w:keepNext w:val="0"/>
        <w:keepLines w:val="0"/>
        <w:widowControl/>
        <w:suppressLineNumbers w:val="0"/>
        <w:rPr>
          <w:rFonts w:hint="default"/>
          <w:lang w:val="en-US"/>
        </w:rPr>
      </w:pPr>
      <w:r>
        <w:rPr>
          <w:rFonts w:hint="default"/>
        </w:rPr>
        <w:t xml:space="preserve">Given that most criminal cases are resolved through plea agreements, the quality of case resolution depends heavily on the effectiveness of defense counsel. The Supreme Court has emphasized that competent legal representation is essential to constitutionally valid plea outcomes </w:t>
      </w:r>
      <w:r>
        <w:rPr>
          <w:rFonts w:hint="default" w:ascii="Times New Roman Italic" w:hAnsi="Times New Roman Italic" w:cs="Times New Roman Italic"/>
          <w:i/>
          <w:iCs/>
        </w:rPr>
        <w:t>(Lafler v. Cooper, 566 U.S. 156 (2012)</w:t>
      </w:r>
      <w:r>
        <w:rPr>
          <w:rFonts w:hint="default" w:ascii="Times New Roman Italic" w:hAnsi="Times New Roman Italic" w:cs="Times New Roman Italic"/>
          <w:i/>
          <w:iCs/>
          <w:lang w:val="en-US"/>
        </w:rPr>
        <w:t>, (</w:t>
      </w:r>
      <w:r>
        <w:rPr>
          <w:rFonts w:hint="default" w:ascii="Times New Roman Italic" w:hAnsi="Times New Roman Italic" w:cs="Times New Roman Italic"/>
          <w:b/>
          <w:bCs/>
          <w:i/>
          <w:iCs/>
          <w:lang w:val="en-US"/>
        </w:rPr>
        <w:t>Exhibit 6</w:t>
      </w:r>
      <w:r>
        <w:rPr>
          <w:rFonts w:hint="default" w:ascii="Times New Roman Italic" w:hAnsi="Times New Roman Italic" w:cs="Times New Roman Italic"/>
          <w:i/>
          <w:iCs/>
          <w:lang w:val="en-US"/>
        </w:rPr>
        <w:t>)</w:t>
      </w:r>
      <w:r>
        <w:rPr>
          <w:rFonts w:hint="default"/>
        </w:rPr>
        <w:t>; Missouri v. Frye, 566 U.S. 134 (2012).</w:t>
      </w:r>
      <w:r>
        <w:rPr>
          <w:rFonts w:hint="default" w:ascii="Times New Roman Italic" w:hAnsi="Times New Roman Italic" w:cs="Times New Roman Italic"/>
          <w:b/>
          <w:bCs/>
          <w:i/>
          <w:iCs/>
          <w:lang w:val="en-US"/>
        </w:rPr>
        <w:t xml:space="preserve"> (Exhibit 5</w:t>
      </w:r>
      <w:r>
        <w:rPr>
          <w:rFonts w:hint="default" w:ascii="Times New Roman Italic" w:hAnsi="Times New Roman Italic" w:cs="Times New Roman Italic"/>
          <w:b w:val="0"/>
          <w:bCs w:val="0"/>
          <w:i/>
          <w:iCs/>
          <w:lang w:val="en-US"/>
        </w:rPr>
        <w:t>)</w:t>
      </w:r>
    </w:p>
    <w:p>
      <w:pPr>
        <w:pStyle w:val="11"/>
        <w:keepNext w:val="0"/>
        <w:keepLines w:val="0"/>
        <w:widowControl/>
        <w:suppressLineNumbers w:val="0"/>
        <w:rPr>
          <w:rFonts w:hint="default"/>
        </w:rPr>
      </w:pPr>
      <w:r>
        <w:rPr>
          <w:rFonts w:hint="default"/>
        </w:rPr>
        <w:t>Indigent defense improves case resolution by ensuring that decisions are based on accurate assessment of evidence, legal exposure, and sentencing consequences. This reduces uninformed or coerced pleas while improving consistency and predictability in case outcomes.</w:t>
      </w:r>
    </w:p>
    <w:p>
      <w:pPr>
        <w:pStyle w:val="11"/>
        <w:keepNext w:val="0"/>
        <w:keepLines w:val="0"/>
        <w:widowControl/>
        <w:suppressLineNumbers w:val="0"/>
        <w:rPr>
          <w:rFonts w:hint="default"/>
        </w:rPr>
      </w:pPr>
      <w:r>
        <w:rPr>
          <w:rFonts w:hint="default"/>
        </w:rPr>
        <w:t>(c) Reducing Unnecessary Litigation and Judicial Burden</w:t>
      </w:r>
    </w:p>
    <w:p>
      <w:pPr>
        <w:pStyle w:val="11"/>
        <w:keepNext w:val="0"/>
        <w:keepLines w:val="0"/>
        <w:widowControl/>
        <w:suppressLineNumbers w:val="0"/>
        <w:rPr>
          <w:rFonts w:hint="default"/>
        </w:rPr>
      </w:pPr>
      <w:r>
        <w:rPr>
          <w:rFonts w:hint="default"/>
        </w:rPr>
        <w:t>Effective indigent defense also reduces unnecessary litigation by resolving weak or legally insufficient cases at earlier stages through motions practice, negotiation, or dismissal. This reduces trial volume and conserves judicial resources for cases requiring full adjudication.</w:t>
      </w:r>
    </w:p>
    <w:p>
      <w:pPr>
        <w:pStyle w:val="11"/>
        <w:keepNext w:val="0"/>
        <w:keepLines w:val="0"/>
        <w:widowControl/>
        <w:suppressLineNumbers w:val="0"/>
        <w:rPr>
          <w:rFonts w:hint="default"/>
        </w:rPr>
      </w:pPr>
      <w:r>
        <w:rPr>
          <w:rFonts w:hint="default"/>
        </w:rPr>
        <w:t xml:space="preserve">The National Center for State Courts has identified case overload and trial delay as persistent structural challenges in state criminal systems, emphasizing the importance of early resolution mechanisms in maintaining efficiency </w:t>
      </w:r>
      <w:r>
        <w:rPr>
          <w:rFonts w:hint="default" w:ascii="Times New Roman Italic" w:hAnsi="Times New Roman Italic" w:cs="Times New Roman Italic"/>
          <w:i/>
          <w:iCs/>
        </w:rPr>
        <w:t>(National Center for State Courts, 2021)</w:t>
      </w:r>
      <w:r>
        <w:rPr>
          <w:rFonts w:hint="default"/>
        </w:rPr>
        <w:t>.</w:t>
      </w:r>
      <w:r>
        <w:rPr>
          <w:rFonts w:hint="default" w:ascii="Times New Roman Italic" w:hAnsi="Times New Roman Italic" w:cs="Times New Roman Italic"/>
          <w:b/>
          <w:bCs/>
          <w:i/>
          <w:iCs/>
          <w:lang w:val="en-US"/>
        </w:rPr>
        <w:t xml:space="preserve"> (Exhibit 10)</w:t>
      </w:r>
      <w:r>
        <w:rPr>
          <w:rFonts w:hint="default"/>
          <w:lang w:val="en-US"/>
        </w:rPr>
        <w:t>.</w:t>
      </w:r>
      <w:r>
        <w:rPr>
          <w:rFonts w:hint="default"/>
        </w:rPr>
        <w:t xml:space="preserve"> Indigent defense contributes directly to this objective by improving early case screening and reducing downstream litigation costs.</w:t>
      </w:r>
    </w:p>
    <w:p>
      <w:pPr>
        <w:pStyle w:val="11"/>
        <w:keepNext w:val="0"/>
        <w:keepLines w:val="0"/>
        <w:widowControl/>
        <w:suppressLineNumbers w:val="0"/>
        <w:rPr>
          <w:rFonts w:hint="default"/>
          <w:b/>
          <w:bCs/>
        </w:rPr>
      </w:pPr>
      <w:r>
        <w:rPr>
          <w:rFonts w:hint="default"/>
          <w:b/>
          <w:bCs/>
        </w:rPr>
        <w:t>CONCLUSION</w:t>
      </w:r>
    </w:p>
    <w:p>
      <w:pPr>
        <w:pStyle w:val="11"/>
        <w:keepNext w:val="0"/>
        <w:keepLines w:val="0"/>
        <w:widowControl/>
        <w:suppressLineNumbers w:val="0"/>
        <w:rPr>
          <w:rFonts w:hint="default" w:ascii="Times New Roman Regular" w:hAnsi="Times New Roman Regular" w:cs="Times New Roman Regular" w:eastAsiaTheme="minorEastAsia"/>
          <w:b/>
          <w:bCs/>
          <w:sz w:val="24"/>
          <w:szCs w:val="24"/>
          <w:lang w:val="en-US" w:eastAsia="zh-CN"/>
        </w:rPr>
      </w:pPr>
      <w:r>
        <w:rPr>
          <w:rFonts w:hint="default"/>
        </w:rPr>
        <w:t>Collectively, the proposed endeavor demonstrates substantial merit because it operates at the intersection of constitutional enforcement, judicial accuracy, and institutional efficiency. By strengthening indigent defense services, the endeavor directly supports the effective implementation of Sixth Amendment protections, enhances the reliability of criminal adjudication through improved defense participation, and contributes to a more efficient and sustainable justice system. Rather than serving only individual defendants, the proposed endeavor functions as a structural component of the U.S. criminal justice system, reinforcing its fairness, accuracy, and operational integrity at a national level.</w:t>
      </w:r>
    </w:p>
    <w:p>
      <w:pPr>
        <w:pStyle w:val="11"/>
        <w:keepNext w:val="0"/>
        <w:keepLines w:val="0"/>
        <w:widowControl/>
        <w:suppressLineNumbers w:val="0"/>
        <w:rPr>
          <w:b/>
          <w:bCs/>
        </w:rPr>
      </w:pPr>
      <w:r>
        <w:rPr>
          <w:b/>
          <w:bCs/>
        </w:rPr>
        <w:t xml:space="preserve">B. NATIONAL IMPORTANCE OF </w:t>
      </w:r>
      <w:r>
        <w:rPr>
          <w:rFonts w:hint="default"/>
          <w:b/>
          <w:bCs/>
          <w:lang w:val="en-US"/>
        </w:rPr>
        <w:t xml:space="preserve">THE </w:t>
      </w:r>
      <w:r>
        <w:rPr>
          <w:b/>
          <w:bCs/>
        </w:rPr>
        <w:t xml:space="preserve">PROPOSED ENDEAVOR </w:t>
      </w:r>
    </w:p>
    <w:p>
      <w:pPr>
        <w:pStyle w:val="11"/>
        <w:keepNext w:val="0"/>
        <w:keepLines w:val="0"/>
        <w:widowControl/>
        <w:suppressLineNumbers w:val="0"/>
      </w:pPr>
    </w:p>
    <w:p>
      <w:pPr>
        <w:pStyle w:val="11"/>
        <w:keepNext w:val="0"/>
        <w:keepLines w:val="0"/>
        <w:widowControl/>
        <w:suppressLineNumbers w:val="0"/>
      </w:pPr>
      <w:r>
        <w:t>Unlike the substantial merit inquiry, which examines the intrinsic value of the proposed endeavor, the national importance inquiry focuses on whether the endeavor has broader implications that extend beyond the interests of individual clients or a single employer. Matter of Dhanasar makes clear that an endeavor may possess national importance when its prospective impact reaches beyond a localized context and contributes to a field or issue of national significance.</w:t>
      </w:r>
    </w:p>
    <w:p>
      <w:pPr>
        <w:pStyle w:val="11"/>
        <w:keepNext w:val="0"/>
        <w:keepLines w:val="0"/>
        <w:widowControl/>
        <w:suppressLineNumbers w:val="0"/>
      </w:pPr>
      <w:r>
        <w:t>Ms. Liu's proposed endeavor satisfies this standard. By advancing the quality, consistency, and effectiveness of indigent criminal defense services through high-quality representation and the development of effective, replicable defense practices, her endeavor addresses a nationwide constitutional challenge, generates improvements capable of implementation across public defense systems, and advances significant public interests underlying the American criminal justice system.</w:t>
      </w:r>
    </w:p>
    <w:p>
      <w:pPr>
        <w:pStyle w:val="11"/>
        <w:keepNext w:val="0"/>
        <w:keepLines w:val="0"/>
        <w:widowControl/>
        <w:suppressLineNumbers w:val="0"/>
      </w:pPr>
      <w:r>
        <w:rPr>
          <w:b/>
          <w:bCs/>
        </w:rPr>
        <w:t>1. The Proposed Endeavor Addresses a Nationwide Constitutional Challenge</w:t>
      </w:r>
    </w:p>
    <w:p>
      <w:pPr>
        <w:pStyle w:val="11"/>
        <w:keepNext w:val="0"/>
        <w:keepLines w:val="0"/>
        <w:widowControl/>
        <w:suppressLineNumbers w:val="0"/>
      </w:pPr>
      <w:r>
        <w:t xml:space="preserve">The proposed endeavor possesses national importance because it addresses systemic challenges affecting indigent criminal defense throughout the United States rather than the operational needs of any single public defender office. Across the country, public defense systems face persistent shortages of qualified attorneys, excessive caseloads, and substantial disparities in access to legal representation, particularly in rural and underserved communities. These challenges have been widely recognized by the </w:t>
      </w:r>
      <w:r>
        <w:rPr>
          <w:rFonts w:hint="default" w:ascii="Times New Roman Italic" w:hAnsi="Times New Roman Italic" w:cs="Times New Roman Italic"/>
          <w:b w:val="0"/>
          <w:bCs w:val="0"/>
          <w:i/>
          <w:iCs/>
        </w:rPr>
        <w:t>American Bar Associatio</w:t>
      </w:r>
      <w:r>
        <w:t>n,</w:t>
      </w:r>
      <w:r>
        <w:rPr>
          <w:rFonts w:hint="default" w:ascii="Times New Roman Italic" w:hAnsi="Times New Roman Italic" w:cs="Times New Roman Italic"/>
          <w:i/>
          <w:iCs/>
        </w:rPr>
        <w:t xml:space="preserve"> the National Legal Aid &amp; Defender Association</w:t>
      </w:r>
      <w:r>
        <w:t xml:space="preserve">, and </w:t>
      </w:r>
      <w:r>
        <w:rPr>
          <w:rFonts w:hint="default" w:ascii="Times New Roman Italic" w:hAnsi="Times New Roman Italic" w:cs="Times New Roman Italic"/>
          <w:i/>
          <w:iCs/>
        </w:rPr>
        <w:t>the Sixth Amendment Center</w:t>
      </w:r>
      <w:r>
        <w:t xml:space="preserve"> as nationwide structural deficiencies that threaten the effective delivery of constitutionally required legal services (</w:t>
      </w:r>
      <w:r>
        <w:rPr>
          <w:rFonts w:hint="default" w:ascii="Times New Roman Italic" w:hAnsi="Times New Roman Italic" w:cs="Times New Roman Italic"/>
          <w:b/>
          <w:bCs/>
          <w:i/>
          <w:iCs/>
        </w:rPr>
        <w:t xml:space="preserve">Exhibits </w:t>
      </w:r>
      <w:r>
        <w:rPr>
          <w:rFonts w:hint="default" w:ascii="Times New Roman Italic" w:hAnsi="Times New Roman Italic" w:cs="Times New Roman Italic"/>
          <w:b/>
          <w:bCs/>
          <w:i/>
          <w:iCs/>
          <w:lang w:val="en-US"/>
        </w:rPr>
        <w:t>11</w:t>
      </w:r>
      <w:r>
        <w:rPr>
          <w:rFonts w:hint="default" w:ascii="Times New Roman Italic" w:hAnsi="Times New Roman Italic" w:cs="Times New Roman Italic"/>
          <w:b/>
          <w:bCs/>
          <w:i/>
          <w:iCs/>
        </w:rPr>
        <w:t>–</w:t>
      </w:r>
      <w:r>
        <w:rPr>
          <w:rFonts w:hint="default" w:ascii="Times New Roman Italic" w:hAnsi="Times New Roman Italic" w:cs="Times New Roman Italic"/>
          <w:b/>
          <w:bCs/>
          <w:i/>
          <w:iCs/>
          <w:lang w:val="en-US"/>
        </w:rPr>
        <w:t>1</w:t>
      </w:r>
      <w:r>
        <w:rPr>
          <w:rFonts w:hint="default" w:ascii="Times New Roman Italic" w:hAnsi="Times New Roman Italic" w:cs="Times New Roman Italic"/>
          <w:b/>
          <w:bCs/>
          <w:i/>
          <w:iCs/>
        </w:rPr>
        <w:t>3</w:t>
      </w:r>
      <w:r>
        <w:t>).</w:t>
      </w:r>
    </w:p>
    <w:p>
      <w:pPr>
        <w:numPr>
          <w:ilvl w:val="0"/>
          <w:numId w:val="0"/>
        </w:numPr>
        <w:rPr>
          <w:rFonts w:hint="default" w:ascii="Times New Roman Italic" w:hAnsi="Times New Roman Italic" w:cs="Times New Roman Italic"/>
          <w:b w:val="0"/>
          <w:bCs w:val="0"/>
          <w:i/>
          <w:iCs/>
          <w:sz w:val="24"/>
          <w:szCs w:val="24"/>
          <w:lang w:val="en-US" w:eastAsia="zh-CN"/>
        </w:rPr>
      </w:pPr>
      <w:r>
        <w:rPr>
          <w:rFonts w:hint="default" w:ascii="Times New Roman Italic" w:hAnsi="Times New Roman Italic" w:cs="Times New Roman Italic"/>
          <w:b w:val="0"/>
          <w:bCs w:val="0"/>
          <w:i/>
          <w:iCs/>
          <w:sz w:val="24"/>
          <w:szCs w:val="24"/>
          <w:lang w:val="en-US" w:eastAsia="zh-CN"/>
        </w:rPr>
        <w:t>“The </w:t>
      </w:r>
      <w:r>
        <w:rPr>
          <w:rFonts w:hint="default" w:ascii="Times New Roman Italic" w:hAnsi="Times New Roman Italic" w:cs="Times New Roman Italic"/>
          <w:b w:val="0"/>
          <w:bCs w:val="0"/>
          <w:i/>
          <w:iCs/>
          <w:sz w:val="24"/>
          <w:szCs w:val="24"/>
          <w:lang w:val="en-US" w:eastAsia="zh-CN"/>
        </w:rPr>
        <w:fldChar w:fldCharType="begin"/>
      </w:r>
      <w:r>
        <w:rPr>
          <w:rFonts w:hint="default" w:ascii="Times New Roman Italic" w:hAnsi="Times New Roman Italic" w:cs="Times New Roman Italic"/>
          <w:b w:val="0"/>
          <w:bCs w:val="0"/>
          <w:i/>
          <w:iCs/>
          <w:sz w:val="24"/>
          <w:szCs w:val="24"/>
          <w:lang w:val="en-US" w:eastAsia="zh-CN"/>
        </w:rPr>
        <w:instrText xml:space="preserve"> HYPERLINK "https://www.theguardian.com/us-news/oregon" </w:instrText>
      </w:r>
      <w:r>
        <w:rPr>
          <w:rFonts w:hint="default" w:ascii="Times New Roman Italic" w:hAnsi="Times New Roman Italic" w:cs="Times New Roman Italic"/>
          <w:b w:val="0"/>
          <w:bCs w:val="0"/>
          <w:i/>
          <w:iCs/>
          <w:sz w:val="24"/>
          <w:szCs w:val="24"/>
          <w:lang w:val="en-US" w:eastAsia="zh-CN"/>
        </w:rPr>
        <w:fldChar w:fldCharType="separate"/>
      </w:r>
      <w:r>
        <w:rPr>
          <w:rFonts w:hint="default" w:ascii="Times New Roman Italic" w:hAnsi="Times New Roman Italic" w:cs="Times New Roman Italic"/>
          <w:b w:val="0"/>
          <w:bCs w:val="0"/>
          <w:i/>
          <w:iCs/>
          <w:sz w:val="24"/>
          <w:szCs w:val="24"/>
          <w:lang w:val="en-US" w:eastAsia="zh-CN"/>
        </w:rPr>
        <w:t>Oregon</w:t>
      </w:r>
      <w:r>
        <w:rPr>
          <w:rFonts w:hint="default" w:ascii="Times New Roman Italic" w:hAnsi="Times New Roman Italic" w:cs="Times New Roman Italic"/>
          <w:b w:val="0"/>
          <w:bCs w:val="0"/>
          <w:i/>
          <w:iCs/>
          <w:sz w:val="24"/>
          <w:szCs w:val="24"/>
          <w:lang w:val="en-US" w:eastAsia="zh-CN"/>
        </w:rPr>
        <w:fldChar w:fldCharType="end"/>
      </w:r>
      <w:r>
        <w:rPr>
          <w:rFonts w:hint="default" w:ascii="Times New Roman Italic" w:hAnsi="Times New Roman Italic" w:cs="Times New Roman Italic"/>
          <w:b w:val="0"/>
          <w:bCs w:val="0"/>
          <w:i/>
          <w:iCs/>
          <w:sz w:val="24"/>
          <w:szCs w:val="24"/>
          <w:lang w:val="en-US" w:eastAsia="zh-CN"/>
        </w:rPr>
        <w:t> supreme court has ruled that a large number of criminal cases across the state must be dismissed due to a severe shortage of public defenders, a major decision that attorneys say will impact more than 1,400 pending cases.</w:t>
      </w:r>
    </w:p>
    <w:p>
      <w:pPr>
        <w:numPr>
          <w:ilvl w:val="0"/>
          <w:numId w:val="0"/>
        </w:numPr>
      </w:pPr>
      <w:r>
        <w:rPr>
          <w:rFonts w:hint="default" w:ascii="Times New Roman Italic" w:hAnsi="Times New Roman Italic" w:cs="Times New Roman Italic"/>
          <w:b w:val="0"/>
          <w:bCs w:val="0"/>
          <w:i/>
          <w:iCs/>
          <w:sz w:val="24"/>
          <w:szCs w:val="24"/>
          <w:lang w:val="en-US" w:eastAsia="zh-CN"/>
        </w:rPr>
        <w:t>The problem has been years in the making and has become a significant constitutional crisis, as people charged with crimes are routinely unable to fight their cases as they wait weeks, months or sometimes years for the state to appoint them lawyers. The attorney shortage – due in part to the increasing difficulty of recruiting attorneys for the low-salary, high-caseload jobs – has meant that people have had cases hanging over them for extended periods of time, impacting their housing, employment and families, advocates say.”</w:t>
      </w:r>
      <w:r>
        <w:rPr>
          <w:rFonts w:hint="eastAsia" w:ascii="Times New Roman Italic" w:hAnsi="Times New Roman Italic" w:cs="Times New Roman Italic"/>
          <w:b w:val="0"/>
          <w:bCs w:val="0"/>
          <w:i/>
          <w:iCs/>
          <w:sz w:val="24"/>
          <w:szCs w:val="24"/>
          <w:lang w:val="en-US" w:eastAsia="zh-CN"/>
        </w:rPr>
        <w:t xml:space="preserve"> </w:t>
      </w:r>
      <w:r>
        <w:rPr>
          <w:rFonts w:hint="default" w:ascii="Times New Roman Bold" w:hAnsi="Times New Roman Bold" w:cs="Times New Roman Bold"/>
          <w:b/>
          <w:bCs/>
          <w:i w:val="0"/>
          <w:iCs w:val="0"/>
          <w:sz w:val="24"/>
          <w:szCs w:val="24"/>
          <w:lang w:val="en-US" w:eastAsia="zh-CN"/>
        </w:rPr>
        <w:t>(</w:t>
      </w:r>
      <w:r>
        <w:rPr>
          <w:rFonts w:hint="default" w:ascii="Times New Roman Bold Italic" w:hAnsi="Times New Roman Bold Italic" w:cs="Times New Roman Bold Italic"/>
          <w:b/>
          <w:bCs/>
          <w:i/>
          <w:iCs/>
          <w:sz w:val="24"/>
          <w:szCs w:val="24"/>
          <w:lang w:val="en-US" w:eastAsia="zh-CN"/>
        </w:rPr>
        <w:t>Exhibit 14</w:t>
      </w:r>
      <w:r>
        <w:rPr>
          <w:rFonts w:hint="default" w:ascii="Times New Roman Bold" w:hAnsi="Times New Roman Bold" w:cs="Times New Roman Bold"/>
          <w:b/>
          <w:bCs/>
          <w:i w:val="0"/>
          <w:iCs w:val="0"/>
          <w:sz w:val="24"/>
          <w:szCs w:val="24"/>
          <w:lang w:val="en-US" w:eastAsia="zh-CN"/>
        </w:rPr>
        <w:t>)</w:t>
      </w:r>
    </w:p>
    <w:p>
      <w:pPr>
        <w:numPr>
          <w:ilvl w:val="0"/>
          <w:numId w:val="0"/>
        </w:numPr>
        <w:rPr>
          <w:rFonts w:hint="eastAsia" w:ascii="Times New Roman Regular" w:hAnsi="Times New Roman Regular" w:eastAsiaTheme="minorEastAsia"/>
          <w:b w:val="0"/>
          <w:bCs w:val="0"/>
          <w:sz w:val="24"/>
          <w:szCs w:val="24"/>
          <w:lang w:val="en-US" w:eastAsia="zh-CN"/>
        </w:rPr>
      </w:pPr>
    </w:p>
    <w:p>
      <w:pPr>
        <w:numPr>
          <w:ilvl w:val="0"/>
          <w:numId w:val="0"/>
        </w:numPr>
      </w:pPr>
      <w:r>
        <w:rPr>
          <w:rFonts w:hint="eastAsia" w:ascii="Times New Roman Regular" w:hAnsi="Times New Roman Regular" w:eastAsiaTheme="minorEastAsia"/>
          <w:b w:val="0"/>
          <w:bCs w:val="0"/>
          <w:sz w:val="24"/>
          <w:szCs w:val="24"/>
          <w:lang w:val="en-US" w:eastAsia="zh-CN"/>
        </w:rPr>
        <w:t>Similar constitutional deficiencies have been documented in numerous states, including Oregon, Missouri, Louisiana, New York, and Washington.</w:t>
      </w:r>
      <w:r>
        <w:rPr>
          <w:rFonts w:hint="eastAsia" w:ascii="Times New Roman Regular" w:hAnsi="Times New Roman Regular"/>
          <w:b w:val="0"/>
          <w:bCs w:val="0"/>
          <w:sz w:val="24"/>
          <w:szCs w:val="24"/>
          <w:lang w:val="en-US" w:eastAsia="zh-CN"/>
        </w:rPr>
        <w:t xml:space="preserve"> </w:t>
      </w:r>
      <w:r>
        <w:rPr>
          <w:rFonts w:hint="eastAsia" w:ascii="Times New Roman Regular" w:hAnsi="Times New Roman Regular" w:eastAsiaTheme="minorEastAsia"/>
          <w:b w:val="0"/>
          <w:bCs w:val="0"/>
          <w:sz w:val="24"/>
          <w:szCs w:val="24"/>
          <w:lang w:val="en-US" w:eastAsia="zh-CN"/>
        </w:rPr>
        <w:t>The consequences of this deficiency are profound. Without effective legal representation, defendants face increased risks of wrongful convictions, prolonged detention, and significant collateral consequences affecting employment, housing, and family stability. In extreme instances, courts have been compelled to dismiss criminal cases due to the state’s failure to provide counsel, highlighting the constitutional magnitude of the issue.</w:t>
      </w:r>
    </w:p>
    <w:p>
      <w:pPr>
        <w:pStyle w:val="11"/>
        <w:keepNext w:val="0"/>
        <w:keepLines w:val="0"/>
        <w:widowControl/>
        <w:suppressLineNumbers w:val="0"/>
      </w:pPr>
      <w:r>
        <w:t>The shortage of public defenders is not simply an employment issue</w:t>
      </w:r>
      <w:r>
        <w:rPr>
          <w:rFonts w:hint="default"/>
          <w:lang w:val="en-US"/>
        </w:rPr>
        <w:t>,</w:t>
      </w:r>
      <w:r>
        <w:t xml:space="preserve"> it is a constitutional concern. Since </w:t>
      </w:r>
      <w:r>
        <w:rPr>
          <w:rFonts w:hint="default" w:ascii="Times New Roman Italic" w:hAnsi="Times New Roman Italic" w:cs="Times New Roman Italic"/>
          <w:i/>
          <w:iCs/>
        </w:rPr>
        <w:t>Gideon v. Wainwright, 372 U.S. 335 (1963)</w:t>
      </w:r>
      <w:r>
        <w:rPr>
          <w:rFonts w:hint="default" w:ascii="Times New Roman Italic" w:hAnsi="Times New Roman Italic" w:cs="Times New Roman Italic"/>
          <w:i/>
          <w:iCs/>
          <w:lang w:val="en-US"/>
        </w:rPr>
        <w:t xml:space="preserve"> , (</w:t>
      </w:r>
      <w:r>
        <w:rPr>
          <w:rFonts w:hint="default" w:ascii="Times New Roman Italic" w:hAnsi="Times New Roman Italic" w:cs="Times New Roman Italic"/>
          <w:b/>
          <w:bCs/>
          <w:i/>
          <w:iCs/>
          <w:lang w:val="en-US"/>
        </w:rPr>
        <w:t>Exhibit 1</w:t>
      </w:r>
      <w:r>
        <w:rPr>
          <w:rFonts w:hint="default" w:ascii="Times New Roman Italic" w:hAnsi="Times New Roman Italic" w:cs="Times New Roman Italic"/>
          <w:i/>
          <w:iCs/>
          <w:lang w:val="en-US"/>
        </w:rPr>
        <w:t>)</w:t>
      </w:r>
      <w:r>
        <w:t xml:space="preserve">, every state has been constitutionally obligated to provide effective legal representation to indigent criminal defendants. As a result, deficiencies in public defense systems implicate a nationwide constitutional obligation rather than isolated local administrative concerns. The American Bar Association has repeatedly concluded that excessive workloads, insufficient funding, and attorney shortages undermine compliance with the Sixth Amendment and impair the effective administration of justice </w:t>
      </w:r>
      <w:r>
        <w:rPr>
          <w:rFonts w:hint="default" w:ascii="Times New Roman Italic" w:hAnsi="Times New Roman Italic" w:cs="Times New Roman Italic"/>
          <w:i/>
          <w:iCs/>
        </w:rPr>
        <w:t>(</w:t>
      </w:r>
      <w:r>
        <w:rPr>
          <w:rFonts w:hint="default" w:ascii="Times New Roman Italic" w:hAnsi="Times New Roman Italic" w:cs="Times New Roman Italic"/>
          <w:b/>
          <w:bCs/>
          <w:i/>
          <w:iCs/>
        </w:rPr>
        <w:t xml:space="preserve">Exhibit </w:t>
      </w:r>
      <w:r>
        <w:rPr>
          <w:rFonts w:hint="default" w:ascii="Times New Roman Italic" w:hAnsi="Times New Roman Italic" w:cs="Times New Roman Italic"/>
          <w:b/>
          <w:bCs/>
          <w:i/>
          <w:iCs/>
          <w:lang w:val="en-US"/>
        </w:rPr>
        <w:t>2:</w:t>
      </w:r>
      <w:r>
        <w:rPr>
          <w:rFonts w:hint="default" w:ascii="Times New Roman Italic" w:hAnsi="Times New Roman Italic" w:cs="Times New Roman Italic"/>
          <w:i/>
          <w:iCs/>
        </w:rPr>
        <w:t xml:space="preserve"> ABA Standing Committee on Legal Aid and Indigent Defense, Ten Principles of a Public Defense Delivery System</w:t>
      </w:r>
      <w:r>
        <w:t>).</w:t>
      </w:r>
    </w:p>
    <w:p>
      <w:pPr>
        <w:pStyle w:val="11"/>
        <w:keepNext w:val="0"/>
        <w:keepLines w:val="0"/>
        <w:widowControl/>
        <w:suppressLineNumbers w:val="0"/>
      </w:pPr>
      <w:r>
        <w:t xml:space="preserve">These challenges are particularly acute in rural jurisdictions, where attorney shortages frequently leave indigent defendants without timely access to constitutionally adequate representation. The </w:t>
      </w:r>
      <w:r>
        <w:rPr>
          <w:rFonts w:hint="default"/>
          <w:lang w:val="en-US"/>
        </w:rPr>
        <w:t>Legal Service Corporation</w:t>
      </w:r>
      <w:r>
        <w:t xml:space="preserve"> has documented significant disparities in public defense capacity among states and counties, demonstrating that unequal access to effective counsel remains a persistent national issue rather than a localized phenomenon (</w:t>
      </w:r>
      <w:r>
        <w:rPr>
          <w:rFonts w:hint="default" w:ascii="Times New Roman Bold Italic" w:hAnsi="Times New Roman Bold Italic" w:cs="Times New Roman Bold Italic"/>
          <w:b/>
          <w:bCs/>
          <w:i/>
          <w:iCs/>
        </w:rPr>
        <w:t xml:space="preserve">Exhibit </w:t>
      </w:r>
      <w:r>
        <w:rPr>
          <w:rFonts w:hint="default" w:ascii="Times New Roman Bold Italic" w:hAnsi="Times New Roman Bold Italic" w:cs="Times New Roman Bold Italic"/>
          <w:b/>
          <w:bCs/>
          <w:i/>
          <w:iCs/>
          <w:lang w:val="en-US"/>
        </w:rPr>
        <w:t>15</w:t>
      </w:r>
      <w:r>
        <w:t>).</w:t>
      </w:r>
    </w:p>
    <w:p>
      <w:pPr>
        <w:pStyle w:val="11"/>
        <w:keepNext w:val="0"/>
        <w:keepLines w:val="0"/>
        <w:widowControl/>
        <w:suppressLineNumbers w:val="0"/>
        <w:rPr>
          <w:rFonts w:hint="default" w:ascii="Times New Roman Regular" w:hAnsi="Times New Roman Regular" w:eastAsiaTheme="minorEastAsia"/>
          <w:b w:val="0"/>
          <w:bCs w:val="0"/>
          <w:sz w:val="24"/>
          <w:szCs w:val="24"/>
          <w:lang w:val="en-US" w:eastAsia="zh-CN"/>
        </w:rPr>
      </w:pPr>
      <w:r>
        <w:rPr>
          <w:lang w:val="en-US" w:eastAsia="zh-CN"/>
        </w:rPr>
        <w:t>Existing shortages cannot be resolved solely through increasing attorney numbers. Improving the quality, consistency, and efficiency of indigent defense practices is equally important to maximizing limited public defense resources. Ms. Liu's proposed endeavor directly advances this objective by developing and promoting effective, replicable practices capable of improving representation across similarly situated public defender offices.</w:t>
      </w:r>
      <w:r>
        <w:rPr>
          <w:rFonts w:hint="eastAsia"/>
          <w:lang w:val="en-US" w:eastAsia="zh-CN"/>
        </w:rPr>
        <w:t xml:space="preserve"> </w:t>
      </w:r>
      <w:r>
        <w:t>Accordingly, Ms. Liu's proposed endeavor addresses a structural constitutional challenge shared by public defense systems nationwide. Its significance therefore extends well beyond the immediate interests of a single employer or jurisdiction.</w:t>
      </w:r>
    </w:p>
    <w:p>
      <w:pPr>
        <w:numPr>
          <w:ilvl w:val="0"/>
          <w:numId w:val="0"/>
        </w:numPr>
        <w:rPr>
          <w:rFonts w:hint="default" w:ascii="Times New Roman Regular" w:hAnsi="Times New Roman Regular" w:eastAsiaTheme="minorEastAsia"/>
          <w:b/>
          <w:bCs/>
          <w:sz w:val="24"/>
          <w:szCs w:val="24"/>
          <w:lang w:val="en-US" w:eastAsia="zh-CN"/>
        </w:rPr>
      </w:pPr>
      <w:r>
        <w:rPr>
          <w:rFonts w:hint="default" w:ascii="Times New Roman Regular" w:hAnsi="Times New Roman Regular" w:eastAsiaTheme="minorEastAsia"/>
          <w:b/>
          <w:bCs/>
          <w:sz w:val="24"/>
          <w:szCs w:val="24"/>
          <w:lang w:val="en-US" w:eastAsia="zh-CN"/>
        </w:rPr>
        <w:t>2. The Proposed Endeavor Produces Broader Implications Beyond Individual Representation</w:t>
      </w:r>
    </w:p>
    <w:p>
      <w:pPr>
        <w:numPr>
          <w:ilvl w:val="0"/>
          <w:numId w:val="0"/>
        </w:numPr>
        <w:rPr>
          <w:rFonts w:hint="default" w:ascii="Times New Roman Regular" w:hAnsi="Times New Roman Regular" w:eastAsiaTheme="minorEastAsia"/>
          <w:b w:val="0"/>
          <w:bCs w:val="0"/>
          <w:sz w:val="24"/>
          <w:szCs w:val="24"/>
          <w:lang w:val="en-US" w:eastAsia="zh-CN"/>
        </w:rPr>
      </w:pPr>
    </w:p>
    <w:p>
      <w:pPr>
        <w:numPr>
          <w:ilvl w:val="0"/>
          <w:numId w:val="0"/>
        </w:numPr>
        <w:rPr>
          <w:rFonts w:hint="default" w:ascii="Times New Roman Regular" w:hAnsi="Times New Roman Regular" w:eastAsiaTheme="minorEastAsia"/>
          <w:b w:val="0"/>
          <w:bCs w:val="0"/>
          <w:sz w:val="24"/>
          <w:szCs w:val="24"/>
          <w:lang w:val="en-US" w:eastAsia="zh-CN"/>
        </w:rPr>
      </w:pPr>
      <w:r>
        <w:rPr>
          <w:rFonts w:hint="default" w:ascii="Times New Roman Regular" w:hAnsi="Times New Roman Regular" w:eastAsiaTheme="minorEastAsia"/>
          <w:b w:val="0"/>
          <w:bCs w:val="0"/>
          <w:sz w:val="24"/>
          <w:szCs w:val="24"/>
          <w:lang w:val="en-US" w:eastAsia="zh-CN"/>
        </w:rPr>
        <w:t>The national importance of the proposed endeavor is further demonstrated by its capacity to generate improvements that extend beyond the individual cases personally handled by Ms. Liu. Rather than merely providing legal representation in isolated matters, the endeavor seeks to improve the quality, consistency, and effectiveness of indigent defense through the development and promotion of effective, replicable defense practices.</w:t>
      </w:r>
    </w:p>
    <w:p>
      <w:pPr>
        <w:numPr>
          <w:ilvl w:val="0"/>
          <w:numId w:val="0"/>
        </w:numPr>
        <w:rPr>
          <w:rFonts w:hint="default" w:ascii="Times New Roman Regular" w:hAnsi="Times New Roman Regular" w:eastAsiaTheme="minorEastAsia"/>
          <w:b w:val="0"/>
          <w:bCs w:val="0"/>
          <w:sz w:val="24"/>
          <w:szCs w:val="24"/>
          <w:lang w:val="en-US" w:eastAsia="zh-CN"/>
        </w:rPr>
      </w:pPr>
    </w:p>
    <w:p>
      <w:pPr>
        <w:numPr>
          <w:ilvl w:val="0"/>
          <w:numId w:val="0"/>
        </w:numPr>
        <w:rPr>
          <w:rFonts w:hint="default" w:ascii="Times New Roman Regular" w:hAnsi="Times New Roman Regular" w:eastAsiaTheme="minorEastAsia"/>
          <w:b w:val="0"/>
          <w:bCs w:val="0"/>
          <w:sz w:val="24"/>
          <w:szCs w:val="24"/>
          <w:lang w:val="en-US" w:eastAsia="zh-CN"/>
        </w:rPr>
      </w:pPr>
      <w:r>
        <w:rPr>
          <w:rFonts w:hint="default" w:ascii="Times New Roman Regular" w:hAnsi="Times New Roman Regular" w:eastAsiaTheme="minorEastAsia"/>
          <w:b w:val="0"/>
          <w:bCs w:val="0"/>
          <w:sz w:val="24"/>
          <w:szCs w:val="24"/>
          <w:lang w:val="en-US" w:eastAsia="zh-CN"/>
        </w:rPr>
        <w:t>Unlike case-specific legal advocacy, improvements in defense methodology—including early case assessment, constitutional issue identification, strategic plea evaluation, effective client communication, and efficient case management—are readily transferable across public defender offices facing similar operational challenges. Because indigent defense systems nationwide operate under substantially similar constitutional requirements, many successful practices developed in one jurisdiction can be adapted and implemented in others.</w:t>
      </w:r>
      <w:r>
        <w:rPr>
          <w:rFonts w:hint="default" w:ascii="Times New Roman Regular" w:hAnsi="Times New Roman Regular"/>
          <w:b w:val="0"/>
          <w:bCs w:val="0"/>
          <w:sz w:val="24"/>
          <w:szCs w:val="24"/>
          <w:lang w:val="en-US" w:eastAsia="zh-CN"/>
        </w:rPr>
        <w:t xml:space="preserve"> (</w:t>
      </w:r>
      <w:r>
        <w:rPr>
          <w:rFonts w:hint="default" w:ascii="Times New Roman Italic" w:hAnsi="Times New Roman Italic" w:cs="Times New Roman Italic"/>
          <w:b/>
          <w:bCs/>
          <w:i/>
          <w:iCs/>
          <w:sz w:val="24"/>
          <w:szCs w:val="24"/>
          <w:lang w:val="en-US" w:eastAsia="zh-CN"/>
        </w:rPr>
        <w:t>Exhibit 16</w:t>
      </w:r>
      <w:r>
        <w:rPr>
          <w:rFonts w:hint="default" w:ascii="Times New Roman Regular" w:hAnsi="Times New Roman Regular"/>
          <w:b w:val="0"/>
          <w:bCs w:val="0"/>
          <w:sz w:val="24"/>
          <w:szCs w:val="24"/>
          <w:lang w:val="en-US" w:eastAsia="zh-CN"/>
        </w:rPr>
        <w:t>)</w:t>
      </w:r>
    </w:p>
    <w:p>
      <w:pPr>
        <w:numPr>
          <w:ilvl w:val="0"/>
          <w:numId w:val="0"/>
        </w:numPr>
        <w:rPr>
          <w:rFonts w:hint="default" w:ascii="Times New Roman Regular" w:hAnsi="Times New Roman Regular" w:eastAsiaTheme="minorEastAsia"/>
          <w:b w:val="0"/>
          <w:bCs w:val="0"/>
          <w:sz w:val="24"/>
          <w:szCs w:val="24"/>
          <w:lang w:val="en-US" w:eastAsia="zh-CN"/>
        </w:rPr>
      </w:pPr>
    </w:p>
    <w:p>
      <w:pPr>
        <w:numPr>
          <w:ilvl w:val="0"/>
          <w:numId w:val="0"/>
        </w:numPr>
        <w:rPr>
          <w:rFonts w:hint="default" w:ascii="Times New Roman Regular" w:hAnsi="Times New Roman Regular" w:eastAsiaTheme="minorEastAsia"/>
          <w:b w:val="0"/>
          <w:bCs w:val="0"/>
          <w:sz w:val="24"/>
          <w:szCs w:val="24"/>
          <w:lang w:val="en-US" w:eastAsia="zh-CN"/>
        </w:rPr>
      </w:pPr>
      <w:r>
        <w:rPr>
          <w:rFonts w:hint="default" w:ascii="Times New Roman Regular" w:hAnsi="Times New Roman Regular" w:eastAsiaTheme="minorEastAsia"/>
          <w:b w:val="0"/>
          <w:bCs w:val="0"/>
          <w:sz w:val="24"/>
          <w:szCs w:val="24"/>
          <w:lang w:val="en-US" w:eastAsia="zh-CN"/>
        </w:rPr>
        <w:t>This broader impact is particularly significant because public defender offices throughout the United States perform substantially similar constitutional functions. Regardless of jurisdiction, indigent defense attorneys are required to protect the Sixth Amendment right to counsel, safeguard due process, enforce Brady disclosure obligations, and ensure constitutionally effective representation under Strickland. Consequently, professional practices that improve the quality and consistency of these functions possess value extending beyond any individual office.</w:t>
      </w:r>
    </w:p>
    <w:p>
      <w:pPr>
        <w:numPr>
          <w:ilvl w:val="0"/>
          <w:numId w:val="0"/>
        </w:numPr>
        <w:rPr>
          <w:rFonts w:hint="default" w:ascii="Times New Roman Regular" w:hAnsi="Times New Roman Regular" w:eastAsiaTheme="minorEastAsia"/>
          <w:b w:val="0"/>
          <w:bCs w:val="0"/>
          <w:sz w:val="24"/>
          <w:szCs w:val="24"/>
          <w:lang w:val="en-US" w:eastAsia="zh-CN"/>
        </w:rPr>
      </w:pPr>
    </w:p>
    <w:p>
      <w:pPr>
        <w:numPr>
          <w:ilvl w:val="0"/>
          <w:numId w:val="0"/>
        </w:numPr>
        <w:rPr>
          <w:rFonts w:hint="default" w:ascii="Times New Roman Regular" w:hAnsi="Times New Roman Regular" w:eastAsiaTheme="minorEastAsia"/>
          <w:b w:val="0"/>
          <w:bCs w:val="0"/>
          <w:sz w:val="24"/>
          <w:szCs w:val="24"/>
          <w:lang w:val="en-US" w:eastAsia="zh-CN"/>
        </w:rPr>
      </w:pPr>
      <w:r>
        <w:rPr>
          <w:rFonts w:hint="default" w:ascii="Times New Roman Regular" w:hAnsi="Times New Roman Regular" w:eastAsiaTheme="minorEastAsia"/>
          <w:b w:val="0"/>
          <w:bCs w:val="0"/>
          <w:sz w:val="24"/>
          <w:szCs w:val="24"/>
          <w:lang w:val="en-US" w:eastAsia="zh-CN"/>
        </w:rPr>
        <w:t>Moreover, improvements in the quality of defense yield system-wide benefits. Effective case assessment facilitates earlier identification of legal issues, improves plea negotiations, promotes more accurate review of evidence, and contributes to more consistent judicial outcomes. These improvements reduce unnecessary litigation, enhance judicial efficiency, and strengthen the overall functioning of criminal justice institutions. Their significance, therefore, lies not merely in improving outcomes for individual defendants, but in strengthening the operation of public defense systems nationwide.</w:t>
      </w:r>
      <w:r>
        <w:rPr>
          <w:rFonts w:hint="default" w:ascii="Times New Roman Regular" w:hAnsi="Times New Roman Regular"/>
          <w:b w:val="0"/>
          <w:bCs w:val="0"/>
          <w:sz w:val="24"/>
          <w:szCs w:val="24"/>
          <w:lang w:val="en-US" w:eastAsia="zh-CN"/>
        </w:rPr>
        <w:t xml:space="preserve"> </w:t>
      </w:r>
      <w:r>
        <w:rPr>
          <w:rFonts w:hint="default" w:ascii="Times New Roman Regular" w:hAnsi="Times New Roman Regular" w:eastAsiaTheme="minorEastAsia"/>
          <w:b w:val="0"/>
          <w:bCs w:val="0"/>
          <w:sz w:val="24"/>
          <w:szCs w:val="24"/>
          <w:lang w:val="en-US" w:eastAsia="zh-CN"/>
        </w:rPr>
        <w:t>By promoting standardized defense practices capable of implementation across jurisdictions, the proposed endeavor contributes to greater consistency in the delivery of constitutionally effective representation nationwide.</w:t>
      </w:r>
    </w:p>
    <w:p>
      <w:pPr>
        <w:numPr>
          <w:ilvl w:val="0"/>
          <w:numId w:val="0"/>
        </w:numPr>
        <w:rPr>
          <w:rFonts w:hint="default" w:ascii="Times New Roman Regular" w:hAnsi="Times New Roman Regular" w:eastAsiaTheme="minorEastAsia"/>
          <w:b w:val="0"/>
          <w:bCs w:val="0"/>
          <w:sz w:val="24"/>
          <w:szCs w:val="24"/>
          <w:lang w:val="en-US" w:eastAsia="zh-CN"/>
        </w:rPr>
      </w:pPr>
    </w:p>
    <w:p>
      <w:pPr>
        <w:numPr>
          <w:ilvl w:val="0"/>
          <w:numId w:val="0"/>
        </w:numPr>
        <w:rPr>
          <w:rFonts w:hint="default" w:ascii="Times New Roman Regular" w:hAnsi="Times New Roman Regular" w:eastAsiaTheme="minorEastAsia"/>
          <w:b w:val="0"/>
          <w:bCs w:val="0"/>
          <w:sz w:val="24"/>
          <w:szCs w:val="24"/>
          <w:lang w:val="en-US" w:eastAsia="zh-CN"/>
        </w:rPr>
      </w:pPr>
      <w:r>
        <w:rPr>
          <w:rFonts w:hint="default" w:ascii="Times New Roman Regular" w:hAnsi="Times New Roman Regular" w:eastAsiaTheme="minorEastAsia"/>
          <w:b w:val="0"/>
          <w:bCs w:val="0"/>
          <w:sz w:val="24"/>
          <w:szCs w:val="24"/>
          <w:lang w:val="en-US" w:eastAsia="zh-CN"/>
        </w:rPr>
        <w:t>Accordingly, the proposed endeavor is not confined to the interests of a single employer, office, or jurisdiction. Rather, its anticipated impact extends to public defense systems nationwide by addressing a structural constitutional challenge and promoting improvements capable of broad implementation across similarly situated jurisdictions.</w:t>
      </w:r>
    </w:p>
    <w:p>
      <w:pPr>
        <w:numPr>
          <w:ilvl w:val="0"/>
          <w:numId w:val="0"/>
        </w:numPr>
        <w:rPr>
          <w:rFonts w:hint="default" w:ascii="Times New Roman Regular" w:hAnsi="Times New Roman Regular" w:eastAsiaTheme="minorEastAsia"/>
          <w:b w:val="0"/>
          <w:bCs w:val="0"/>
          <w:sz w:val="24"/>
          <w:szCs w:val="24"/>
          <w:lang w:val="en-US" w:eastAsia="zh-CN"/>
        </w:rPr>
      </w:pPr>
    </w:p>
    <w:p>
      <w:pPr>
        <w:numPr>
          <w:ilvl w:val="0"/>
          <w:numId w:val="0"/>
        </w:numPr>
        <w:rPr>
          <w:rFonts w:hint="default" w:ascii="Times New Roman Regular" w:hAnsi="Times New Roman Regular" w:eastAsiaTheme="minorEastAsia"/>
          <w:b/>
          <w:bCs/>
          <w:sz w:val="24"/>
          <w:szCs w:val="24"/>
          <w:lang w:val="en-US" w:eastAsia="zh-CN"/>
        </w:rPr>
      </w:pPr>
      <w:r>
        <w:rPr>
          <w:rFonts w:hint="default" w:ascii="Times New Roman Regular" w:hAnsi="Times New Roman Regular" w:eastAsiaTheme="minorEastAsia"/>
          <w:b/>
          <w:bCs/>
          <w:sz w:val="24"/>
          <w:szCs w:val="24"/>
          <w:lang w:val="en-US" w:eastAsia="zh-CN"/>
        </w:rPr>
        <w:t>3. The Proposed Endeavor Advances Significant National Public Interests</w:t>
      </w:r>
    </w:p>
    <w:p>
      <w:pPr>
        <w:numPr>
          <w:ilvl w:val="0"/>
          <w:numId w:val="0"/>
        </w:numPr>
        <w:rPr>
          <w:rFonts w:hint="default" w:ascii="Times New Roman Regular" w:hAnsi="Times New Roman Regular" w:eastAsiaTheme="minorEastAsia"/>
          <w:b w:val="0"/>
          <w:bCs w:val="0"/>
          <w:sz w:val="24"/>
          <w:szCs w:val="24"/>
          <w:lang w:val="en-US" w:eastAsia="zh-CN"/>
        </w:rPr>
      </w:pPr>
    </w:p>
    <w:p>
      <w:pPr>
        <w:numPr>
          <w:ilvl w:val="0"/>
          <w:numId w:val="0"/>
        </w:numPr>
        <w:rPr>
          <w:rFonts w:hint="default" w:ascii="Times New Roman Regular" w:hAnsi="Times New Roman Regular" w:eastAsiaTheme="minorEastAsia"/>
          <w:b w:val="0"/>
          <w:bCs w:val="0"/>
          <w:sz w:val="24"/>
          <w:szCs w:val="24"/>
          <w:lang w:val="en-US" w:eastAsia="zh-CN"/>
        </w:rPr>
      </w:pPr>
      <w:r>
        <w:rPr>
          <w:rFonts w:hint="default" w:ascii="Times New Roman Regular" w:hAnsi="Times New Roman Regular" w:eastAsiaTheme="minorEastAsia"/>
          <w:b w:val="0"/>
          <w:bCs w:val="0"/>
          <w:sz w:val="24"/>
          <w:szCs w:val="24"/>
          <w:lang w:val="en-US" w:eastAsia="zh-CN"/>
        </w:rPr>
        <w:t>The proposed endeavor also possesses national importance because it advances fundamental public interests that underlie the American criminal justice system. Effective indigent defense is indispensable to preserving the rule of law, maintaining public confidence in judicial institutions, promoting equal access to justice, and protecting the integrity of criminal adjudication.</w:t>
      </w:r>
    </w:p>
    <w:p>
      <w:pPr>
        <w:numPr>
          <w:ilvl w:val="0"/>
          <w:numId w:val="0"/>
        </w:numPr>
        <w:rPr>
          <w:rFonts w:hint="default" w:ascii="Times New Roman Regular" w:hAnsi="Times New Roman Regular" w:eastAsiaTheme="minorEastAsia"/>
          <w:b w:val="0"/>
          <w:bCs w:val="0"/>
          <w:sz w:val="24"/>
          <w:szCs w:val="24"/>
          <w:lang w:val="en-US" w:eastAsia="zh-CN"/>
        </w:rPr>
      </w:pPr>
    </w:p>
    <w:p>
      <w:pPr>
        <w:numPr>
          <w:ilvl w:val="0"/>
          <w:numId w:val="3"/>
        </w:numPr>
        <w:rPr>
          <w:rFonts w:hint="default" w:ascii="Times New Roman Regular" w:hAnsi="Times New Roman Regular" w:eastAsiaTheme="minorEastAsia"/>
          <w:b w:val="0"/>
          <w:bCs w:val="0"/>
          <w:sz w:val="24"/>
          <w:szCs w:val="24"/>
          <w:lang w:val="en-US" w:eastAsia="zh-CN"/>
        </w:rPr>
      </w:pPr>
      <w:r>
        <w:rPr>
          <w:rFonts w:hint="default" w:ascii="Times New Roman Regular" w:hAnsi="Times New Roman Regular"/>
          <w:b w:val="0"/>
          <w:bCs w:val="0"/>
          <w:sz w:val="24"/>
          <w:szCs w:val="24"/>
          <w:lang w:val="en-US" w:eastAsia="zh-CN"/>
        </w:rPr>
        <w:t>Preserve Rule of Law</w:t>
      </w:r>
    </w:p>
    <w:p>
      <w:pPr>
        <w:pStyle w:val="11"/>
        <w:keepNext w:val="0"/>
        <w:keepLines w:val="0"/>
        <w:widowControl/>
        <w:suppressLineNumbers w:val="0"/>
      </w:pPr>
      <w:r>
        <w:rPr>
          <w:rFonts w:hint="default"/>
        </w:rPr>
        <w:t xml:space="preserve">The proposed endeavor advances the national interest by preserving the rule of law, which requires that government power be exercised within constitutional limits and that legal protections be applied consistently to all individuals. In the criminal justice system, the government possesses significant authority through investigation, prosecution, and potential deprivation of liberty, creating an inherent imbalance between the state and individual defendants. By improving the quality and consistency of indigent defense services, the proposed endeavor promotes the principle that similarly situated individuals should receive equal treatment under the law and strengthens confidence that the justice system operates according to constitutional principles rather than unequal access to resources. </w:t>
      </w:r>
      <w:r>
        <w:rPr>
          <w:rFonts w:hint="default"/>
          <w:lang w:val="en-US" w:eastAsia="zh-CN"/>
        </w:rPr>
        <w:t>This is because effective indigent defense helps ensure that criminal outcomes are determined by the merits of the case and constitutional protections rather than by a defendant’s financial ability to obtain legal representation</w:t>
      </w:r>
      <w:r>
        <w:t>.</w:t>
      </w:r>
    </w:p>
    <w:p>
      <w:pPr>
        <w:numPr>
          <w:ilvl w:val="0"/>
          <w:numId w:val="3"/>
        </w:numPr>
        <w:rPr>
          <w:rFonts w:hint="default" w:ascii="Times New Roman Regular" w:hAnsi="Times New Roman Regular"/>
          <w:b w:val="0"/>
          <w:bCs w:val="0"/>
          <w:sz w:val="24"/>
          <w:szCs w:val="24"/>
          <w:lang w:val="en-US" w:eastAsia="zh-CN"/>
        </w:rPr>
      </w:pPr>
      <w:r>
        <w:rPr>
          <w:rFonts w:hint="default" w:ascii="Times New Roman Regular" w:hAnsi="Times New Roman Regular"/>
          <w:b w:val="0"/>
          <w:bCs w:val="0"/>
          <w:sz w:val="24"/>
          <w:szCs w:val="24"/>
          <w:lang w:val="en-US" w:eastAsia="zh-CN"/>
        </w:rPr>
        <w:t>Increase Public Confidence</w:t>
      </w:r>
    </w:p>
    <w:p>
      <w:pPr>
        <w:pStyle w:val="11"/>
        <w:keepNext w:val="0"/>
        <w:keepLines w:val="0"/>
        <w:widowControl/>
        <w:suppressLineNumbers w:val="0"/>
        <w:spacing w:before="0" w:beforeAutospacing="1" w:after="0" w:afterAutospacing="1"/>
        <w:ind w:left="0" w:right="0"/>
        <w:rPr>
          <w:rFonts w:hint="default" w:ascii="Times New Roman Italic" w:hAnsi="Times New Roman Italic" w:cs="Times New Roman Italic"/>
          <w:i/>
          <w:iCs/>
        </w:rPr>
      </w:pPr>
      <w:r>
        <w:t>The proposed endeavor advances the national interest by strengthening public confidence in judicial institutions. Public trust in the justice system depends not only on legal outcomes, but also on whether individuals perceive judicial processes as fair, reliable, and equally accessible. Persistent concerns regarding excessive caseloads, limited resources, and inconsistent quality of public defense representation have contributed to the perception that indigent defense is merely a lesser alternative to privately retained counsel. The American Bar Association has recognized that effective public defense is essential to maintaining confidence in the fairness and legitimacy of the justice system.</w:t>
      </w:r>
      <w:r>
        <w:rPr>
          <w:rFonts w:hint="default" w:ascii="Times New Roman Italic" w:hAnsi="Times New Roman Italic" w:cs="Times New Roman Italic"/>
          <w:i/>
          <w:iCs/>
        </w:rPr>
        <w:t xml:space="preserve"> </w:t>
      </w:r>
      <w:r>
        <w:rPr>
          <w:rFonts w:hint="default" w:ascii="Times New Roman Italic" w:hAnsi="Times New Roman Italic" w:cs="Times New Roman Italic"/>
          <w:b/>
          <w:bCs/>
          <w:i/>
          <w:iCs/>
        </w:rPr>
        <w:t>(</w:t>
      </w:r>
      <w:r>
        <w:rPr>
          <w:rFonts w:hint="default" w:ascii="Times New Roman Italic" w:hAnsi="Times New Roman Italic" w:cs="Times New Roman Italic"/>
          <w:b/>
          <w:bCs/>
          <w:i/>
          <w:iCs/>
          <w:lang w:val="en-US" w:eastAsia="zh-CN"/>
        </w:rPr>
        <w:t xml:space="preserve">Exhibit 17: </w:t>
      </w:r>
      <w:r>
        <w:rPr>
          <w:rStyle w:val="7"/>
          <w:rFonts w:hint="default" w:ascii="Times New Roman Italic" w:hAnsi="Times New Roman Italic" w:cs="Times New Roman Italic"/>
          <w:b/>
          <w:bCs/>
          <w:i/>
          <w:iCs/>
        </w:rPr>
        <w:t>ABA Ten Principles of a Public Defense Delivery System</w:t>
      </w:r>
      <w:r>
        <w:rPr>
          <w:rFonts w:hint="default" w:ascii="Times New Roman Italic" w:hAnsi="Times New Roman Italic" w:cs="Times New Roman Italic"/>
          <w:b/>
          <w:bCs/>
          <w:i/>
          <w:iCs/>
        </w:rPr>
        <w:t>, 2002)</w:t>
      </w:r>
      <w:r>
        <w:rPr>
          <w:rFonts w:hint="default" w:ascii="Times New Roman Italic" w:hAnsi="Times New Roman Italic" w:cs="Times New Roman Italic"/>
          <w:i/>
          <w:iCs/>
        </w:rPr>
        <w:t>.</w:t>
      </w:r>
    </w:p>
    <w:p>
      <w:pPr>
        <w:pStyle w:val="11"/>
        <w:keepNext w:val="0"/>
        <w:keepLines w:val="0"/>
        <w:widowControl/>
        <w:suppressLineNumbers w:val="0"/>
        <w:rPr>
          <w:rFonts w:hint="default" w:ascii="Times New Roman Regular" w:hAnsi="Times New Roman Regular"/>
          <w:b w:val="0"/>
          <w:bCs w:val="0"/>
          <w:sz w:val="24"/>
          <w:szCs w:val="24"/>
          <w:lang w:val="en-US" w:eastAsia="zh-CN"/>
        </w:rPr>
      </w:pPr>
      <w:r>
        <w:t>By advancing the quality, consistency, and effectiveness of indigent defense services through high-quality representation and replicable practices, Ms. Liu’s proposed endeavor helps ensure that defendants receive meaningful advocacy regardless of economic status. Improving the reliability of public defense therefore strengthens the public perception that the criminal justice system operates fairly, consistently, and according to constitutional principles.</w:t>
      </w:r>
    </w:p>
    <w:p>
      <w:pPr>
        <w:numPr>
          <w:ilvl w:val="0"/>
          <w:numId w:val="3"/>
        </w:numPr>
        <w:rPr>
          <w:rFonts w:hint="default" w:ascii="Times New Roman Regular" w:hAnsi="Times New Roman Regular" w:eastAsiaTheme="minorEastAsia"/>
          <w:b w:val="0"/>
          <w:bCs w:val="0"/>
          <w:sz w:val="24"/>
          <w:szCs w:val="24"/>
          <w:lang w:val="en-US" w:eastAsia="zh-CN"/>
        </w:rPr>
      </w:pPr>
      <w:r>
        <w:rPr>
          <w:rFonts w:hint="default" w:ascii="Times New Roman Regular" w:hAnsi="Times New Roman Regular"/>
          <w:b w:val="0"/>
          <w:bCs w:val="0"/>
          <w:sz w:val="24"/>
          <w:szCs w:val="24"/>
          <w:lang w:val="en-US" w:eastAsia="zh-CN"/>
        </w:rPr>
        <w:t>P</w:t>
      </w:r>
      <w:r>
        <w:rPr>
          <w:rFonts w:hint="default" w:ascii="Times New Roman Regular" w:hAnsi="Times New Roman Regular" w:eastAsiaTheme="minorEastAsia"/>
          <w:b w:val="0"/>
          <w:bCs w:val="0"/>
          <w:sz w:val="24"/>
          <w:szCs w:val="24"/>
          <w:lang w:val="en-US" w:eastAsia="zh-CN"/>
        </w:rPr>
        <w:t xml:space="preserve">rotecting  </w:t>
      </w:r>
      <w:r>
        <w:rPr>
          <w:rFonts w:hint="default" w:ascii="Times New Roman Regular" w:hAnsi="Times New Roman Regular"/>
          <w:b w:val="0"/>
          <w:bCs w:val="0"/>
          <w:sz w:val="24"/>
          <w:szCs w:val="24"/>
          <w:lang w:val="en-US" w:eastAsia="zh-CN"/>
        </w:rPr>
        <w:t>I</w:t>
      </w:r>
      <w:r>
        <w:rPr>
          <w:rFonts w:hint="default" w:ascii="Times New Roman Regular" w:hAnsi="Times New Roman Regular" w:eastAsiaTheme="minorEastAsia"/>
          <w:b w:val="0"/>
          <w:bCs w:val="0"/>
          <w:sz w:val="24"/>
          <w:szCs w:val="24"/>
          <w:lang w:val="en-US" w:eastAsia="zh-CN"/>
        </w:rPr>
        <w:t xml:space="preserve">ntegrity of </w:t>
      </w:r>
      <w:r>
        <w:rPr>
          <w:rFonts w:hint="default" w:ascii="Times New Roman Regular" w:hAnsi="Times New Roman Regular"/>
          <w:b w:val="0"/>
          <w:bCs w:val="0"/>
          <w:sz w:val="24"/>
          <w:szCs w:val="24"/>
          <w:lang w:val="en-US" w:eastAsia="zh-CN"/>
        </w:rPr>
        <w:t>C</w:t>
      </w:r>
      <w:r>
        <w:rPr>
          <w:rFonts w:hint="default" w:ascii="Times New Roman Regular" w:hAnsi="Times New Roman Regular" w:eastAsiaTheme="minorEastAsia"/>
          <w:b w:val="0"/>
          <w:bCs w:val="0"/>
          <w:sz w:val="24"/>
          <w:szCs w:val="24"/>
          <w:lang w:val="en-US" w:eastAsia="zh-CN"/>
        </w:rPr>
        <w:t xml:space="preserve">riminal </w:t>
      </w:r>
      <w:r>
        <w:rPr>
          <w:rFonts w:hint="default" w:ascii="Times New Roman Regular" w:hAnsi="Times New Roman Regular"/>
          <w:b w:val="0"/>
          <w:bCs w:val="0"/>
          <w:sz w:val="24"/>
          <w:szCs w:val="24"/>
          <w:lang w:val="en-US" w:eastAsia="zh-CN"/>
        </w:rPr>
        <w:t>A</w:t>
      </w:r>
      <w:r>
        <w:rPr>
          <w:rFonts w:hint="default" w:ascii="Times New Roman Regular" w:hAnsi="Times New Roman Regular" w:eastAsiaTheme="minorEastAsia"/>
          <w:b w:val="0"/>
          <w:bCs w:val="0"/>
          <w:sz w:val="24"/>
          <w:szCs w:val="24"/>
          <w:lang w:val="en-US" w:eastAsia="zh-CN"/>
        </w:rPr>
        <w:t>djudication</w:t>
      </w:r>
    </w:p>
    <w:p>
      <w:pPr>
        <w:pStyle w:val="11"/>
        <w:keepNext w:val="0"/>
        <w:keepLines w:val="0"/>
        <w:widowControl/>
        <w:suppressLineNumbers w:val="0"/>
        <w:spacing w:before="0" w:beforeAutospacing="1" w:after="0" w:afterAutospacing="1"/>
        <w:ind w:left="0" w:right="0"/>
        <w:rPr>
          <w:rFonts w:hint="default" w:ascii="Times New Roman Italic" w:hAnsi="Times New Roman Italic" w:eastAsia="SimSun" w:cs="Times New Roman Italic"/>
          <w:i/>
          <w:iCs/>
          <w:lang w:val="en-US" w:eastAsia="zh-CN"/>
        </w:rPr>
      </w:pPr>
      <w:r>
        <w:t xml:space="preserve">The proposed endeavor advances the national interest by protecting the integrity of criminal adjudication, which depends on accurate, reliable, and fair judicial decision-making. The American adversarial system relies on meaningful participation by both prosecution and defense to ensure that courts evaluate evidence through a complete and balanced process. The Supreme Court has recognized that effective defense representation is essential to the reliability of criminal proceedings. </w:t>
      </w:r>
      <w:r>
        <w:rPr>
          <w:rFonts w:hint="default" w:ascii="Times New Roman Italic" w:hAnsi="Times New Roman Italic" w:cs="Times New Roman Italic"/>
          <w:i/>
          <w:iCs/>
        </w:rPr>
        <w:t xml:space="preserve">In </w:t>
      </w:r>
      <w:r>
        <w:rPr>
          <w:rStyle w:val="7"/>
          <w:rFonts w:hint="default" w:ascii="Times New Roman Italic" w:hAnsi="Times New Roman Italic" w:cs="Times New Roman Italic"/>
          <w:i/>
          <w:iCs/>
        </w:rPr>
        <w:t>Strickland v. Washington</w:t>
      </w:r>
      <w:r>
        <w:rPr>
          <w:rFonts w:hint="default" w:ascii="Times New Roman Italic" w:hAnsi="Times New Roman Italic" w:cs="Times New Roman Italic"/>
          <w:i/>
          <w:iCs/>
        </w:rPr>
        <w:t>, 466 U.S. 668 (1984)</w:t>
      </w:r>
      <w:r>
        <w:t>, the Court held that ineffective assistance of counsel may undermine the fundamental fairness and reliability of judicial outcomes.</w:t>
      </w:r>
      <w:r>
        <w:rPr>
          <w:rFonts w:hint="eastAsia"/>
          <w:lang w:val="en-US" w:eastAsia="zh-CN"/>
        </w:rPr>
        <w:t xml:space="preserve"> </w:t>
      </w:r>
      <w:r>
        <w:rPr>
          <w:rFonts w:hint="default" w:ascii="Times New Roman Italic" w:hAnsi="Times New Roman Italic" w:cs="Times New Roman Italic"/>
          <w:i/>
          <w:iCs/>
          <w:lang w:val="en-US" w:eastAsia="zh-CN"/>
        </w:rPr>
        <w:t>(</w:t>
      </w:r>
      <w:r>
        <w:rPr>
          <w:rFonts w:hint="default" w:ascii="Times New Roman Italic" w:hAnsi="Times New Roman Italic" w:cs="Times New Roman Italic"/>
          <w:b/>
          <w:bCs/>
          <w:i/>
          <w:iCs/>
          <w:lang w:val="en-US" w:eastAsia="zh-CN"/>
        </w:rPr>
        <w:t>Exhibit 2</w:t>
      </w:r>
      <w:r>
        <w:rPr>
          <w:rFonts w:hint="default" w:ascii="Times New Roman Italic" w:hAnsi="Times New Roman Italic" w:cs="Times New Roman Italic"/>
          <w:i/>
          <w:iCs/>
          <w:lang w:val="en-US" w:eastAsia="zh-CN"/>
        </w:rPr>
        <w:t>)</w:t>
      </w:r>
    </w:p>
    <w:p>
      <w:pPr>
        <w:pStyle w:val="11"/>
        <w:keepNext w:val="0"/>
        <w:keepLines w:val="0"/>
        <w:widowControl/>
        <w:suppressLineNumbers w:val="0"/>
      </w:pPr>
      <w:r>
        <w:rPr>
          <w:rStyle w:val="12"/>
          <w:b w:val="0"/>
          <w:bCs w:val="0"/>
        </w:rPr>
        <w:t>Because Ms. Liu’s proposed endeavor specifically focuses on improving the quality, consistency, and effectiveness of indigent defense representation through high-quality advocacy and replicable practices, it directly strengthens the defense function necessary for reliable adjudication.</w:t>
      </w:r>
      <w:r>
        <w:t xml:space="preserve"> By enhancing defense participation, promoting thorough evaluation of evidence, and enabling courts to reach decisions based on a more complete and reliable record, the endeavor contributes to the accuracy, legitimacy, and institutional integrity of criminal adjudication nationwide.</w:t>
      </w:r>
    </w:p>
    <w:p>
      <w:pPr>
        <w:rPr>
          <w:rFonts w:hint="eastAsia" w:ascii="Times New Roman Regular" w:hAnsi="Times New Roman Regular" w:cs="Times New Roman Regular" w:eastAsiaTheme="minorEastAsia"/>
          <w:b/>
          <w:bCs/>
          <w:color w:val="FF0000"/>
          <w:sz w:val="24"/>
          <w:szCs w:val="24"/>
          <w:lang w:val="en-US" w:eastAsia="zh-CN"/>
        </w:rPr>
      </w:pPr>
      <w:bookmarkStart w:id="2" w:name="_Toc95718899"/>
      <w:r>
        <w:rPr>
          <w:rFonts w:hint="default" w:ascii="Times New Roman Regular" w:hAnsi="Times New Roman Regular" w:cs="Times New Roman Regular"/>
          <w:b/>
          <w:bCs/>
          <w:sz w:val="24"/>
          <w:szCs w:val="24"/>
          <w:lang w:val="en-US"/>
        </w:rPr>
        <w:t xml:space="preserve">IV. </w:t>
      </w:r>
      <w:bookmarkEnd w:id="2"/>
      <w:r>
        <w:rPr>
          <w:rFonts w:hint="default" w:ascii="Times New Roman Regular" w:hAnsi="Times New Roman Regular" w:cs="Times New Roman Regular"/>
          <w:b/>
          <w:bCs/>
          <w:sz w:val="24"/>
          <w:szCs w:val="24"/>
          <w:lang w:val="en-US" w:eastAsia="zh-CN"/>
        </w:rPr>
        <w:t>MS. LIU IS WELL POSITIONED TO ADVANCE THE PROPOSED ENDEAVOR</w:t>
      </w:r>
    </w:p>
    <w:p>
      <w:pPr>
        <w:pStyle w:val="11"/>
        <w:keepNext w:val="0"/>
        <w:keepLines w:val="0"/>
        <w:widowControl/>
        <w:suppressLineNumbers w:val="0"/>
        <w:rPr>
          <w:color w:val="FF0000"/>
        </w:rPr>
      </w:pPr>
      <w:r>
        <w:rPr>
          <w:color w:val="auto"/>
        </w:rPr>
        <w:t>Dhanasar indicates that the second prong of the analysis must consider whether the petitioner is well positioned to advance the proposed endeavor (Dhanasar, at 890). This multifactorial assessment includes an evaluation of the petitioner’s education, skills, knowledge, and record of success in related efforts; a model or plan for future activities; any progress made toward achieving the proposed endeavor; and the interest of potential customers, users, investors, or other relevant entities or individuals (Id.). Importantly, Dhanasar points out the inherent difficulty in “forecasting feasibility or future success,” even in the presence of a cogent plan and competent execution; therefore, petitioners are not required to show that their proposed endeavor is more likely than not to succeed (Id.) (</w:t>
      </w:r>
      <w:r>
        <w:rPr>
          <w:b/>
          <w:bCs/>
          <w:color w:val="auto"/>
        </w:rPr>
        <w:t>Exhibit 29</w:t>
      </w:r>
      <w:r>
        <w:rPr>
          <w:color w:val="auto"/>
        </w:rPr>
        <w:t xml:space="preserve">). </w:t>
      </w:r>
    </w:p>
    <w:p>
      <w:pPr>
        <w:pStyle w:val="11"/>
        <w:keepNext w:val="0"/>
        <w:keepLines w:val="0"/>
        <w:widowControl/>
        <w:suppressLineNumbers w:val="0"/>
        <w:rPr>
          <w:rFonts w:hint="default"/>
          <w:color w:val="auto"/>
          <w:lang w:val="en-US"/>
        </w:rPr>
      </w:pPr>
      <w:r>
        <w:rPr>
          <w:color w:val="auto"/>
          <w:lang w:val="en-US" w:eastAsia="zh-CN"/>
        </w:rPr>
        <w:t xml:space="preserve">To demonstrate that Ms. Liu is well positioned to advance the proposed endeavor, this petition will establish her qualifications and capabilities through five categories of evidence: </w:t>
      </w:r>
      <w:r>
        <w:rPr>
          <w:rFonts w:hint="eastAsia"/>
          <w:color w:val="auto"/>
          <w:lang w:val="en-US" w:eastAsia="zh-CN"/>
        </w:rPr>
        <w:t>1. H</w:t>
      </w:r>
      <w:r>
        <w:rPr>
          <w:color w:val="auto"/>
          <w:lang w:val="en-US" w:eastAsia="zh-CN"/>
        </w:rPr>
        <w:t xml:space="preserve">er advanced legal education and cross-jurisdictional legal training; </w:t>
      </w:r>
      <w:r>
        <w:rPr>
          <w:rFonts w:hint="eastAsia"/>
          <w:color w:val="auto"/>
          <w:lang w:val="en-US" w:eastAsia="zh-CN"/>
        </w:rPr>
        <w:t xml:space="preserve">2. </w:t>
      </w:r>
      <w:r>
        <w:rPr>
          <w:rFonts w:hint="default"/>
          <w:color w:val="auto"/>
          <w:lang w:val="en-US" w:eastAsia="zh-CN"/>
        </w:rPr>
        <w:t>H</w:t>
      </w:r>
      <w:r>
        <w:rPr>
          <w:color w:val="auto"/>
          <w:lang w:val="en-US" w:eastAsia="zh-CN"/>
        </w:rPr>
        <w:t>er professional qualification and admission to the Washington State Bar; 3</w:t>
      </w:r>
      <w:r>
        <w:rPr>
          <w:rFonts w:hint="default"/>
          <w:color w:val="auto"/>
          <w:lang w:val="en-US" w:eastAsia="zh-CN"/>
        </w:rPr>
        <w:t>.</w:t>
      </w:r>
      <w:r>
        <w:rPr>
          <w:color w:val="auto"/>
          <w:lang w:val="en-US" w:eastAsia="zh-CN"/>
        </w:rPr>
        <w:t xml:space="preserve"> </w:t>
      </w:r>
      <w:r>
        <w:rPr>
          <w:rFonts w:hint="default"/>
          <w:color w:val="auto"/>
          <w:lang w:val="en-US" w:eastAsia="zh-CN"/>
        </w:rPr>
        <w:t>H</w:t>
      </w:r>
      <w:r>
        <w:rPr>
          <w:color w:val="auto"/>
          <w:lang w:val="en-US" w:eastAsia="zh-CN"/>
        </w:rPr>
        <w:t>er extensive frontline experience providing indigent criminal defense services; 4</w:t>
      </w:r>
      <w:r>
        <w:rPr>
          <w:rFonts w:hint="default"/>
          <w:color w:val="auto"/>
          <w:lang w:val="en-US" w:eastAsia="zh-CN"/>
        </w:rPr>
        <w:t>.</w:t>
      </w:r>
      <w:r>
        <w:rPr>
          <w:color w:val="auto"/>
          <w:lang w:val="en-US" w:eastAsia="zh-CN"/>
        </w:rPr>
        <w:t xml:space="preserve"> her demonstrated ability to achieve meaningful results through effective legal advocacy; and 5</w:t>
      </w:r>
      <w:r>
        <w:rPr>
          <w:rFonts w:hint="default"/>
          <w:color w:val="auto"/>
          <w:lang w:val="en-US" w:eastAsia="zh-CN"/>
        </w:rPr>
        <w:t>.</w:t>
      </w:r>
      <w:r>
        <w:rPr>
          <w:color w:val="auto"/>
          <w:lang w:val="en-US" w:eastAsia="zh-CN"/>
        </w:rPr>
        <w:t xml:space="preserve"> Her Capacity to Develop and Promote Effective, Replicable Practices Through High-Volume Public Defense Representation</w:t>
      </w:r>
      <w:r>
        <w:rPr>
          <w:rFonts w:hint="default"/>
          <w:color w:val="auto"/>
          <w:lang w:val="en-US" w:eastAsia="zh-CN"/>
        </w:rPr>
        <w:t>.</w:t>
      </w:r>
    </w:p>
    <w:p>
      <w:pPr>
        <w:pStyle w:val="11"/>
        <w:keepNext w:val="0"/>
        <w:keepLines w:val="0"/>
        <w:widowControl/>
        <w:suppressLineNumbers w:val="0"/>
        <w:rPr>
          <w:rFonts w:hint="eastAsia"/>
          <w:b/>
          <w:bCs/>
          <w:color w:val="auto"/>
          <w:lang w:val="en-US" w:eastAsia="zh-CN"/>
        </w:rPr>
      </w:pPr>
      <w:r>
        <w:rPr>
          <w:rFonts w:hint="eastAsia"/>
          <w:b/>
          <w:bCs/>
          <w:color w:val="auto"/>
          <w:lang w:val="en-US" w:eastAsia="zh-CN"/>
        </w:rPr>
        <w:t>1. Ms. Liu Possesses Advanced Legal Education and Multidisciplinary Legal Training Relevant to the Proposed Endeavor</w:t>
      </w:r>
    </w:p>
    <w:p>
      <w:pPr>
        <w:pStyle w:val="11"/>
        <w:keepNext w:val="0"/>
        <w:keepLines w:val="0"/>
        <w:widowControl/>
        <w:suppressLineNumbers w:val="0"/>
        <w:spacing w:before="0" w:beforeAutospacing="1" w:after="0" w:afterAutospacing="1"/>
        <w:ind w:left="0" w:right="0"/>
      </w:pPr>
      <w:r>
        <w:t>Ms. Liu is well positioned to advance her proposed endeavor due to her advanced legal education, cross-jurisdictional legal training, and broad exposure to multiple areas of legal practice. Ms. Liu holds a Master of Laws (LL.M.) degree</w:t>
      </w:r>
      <w:r>
        <w:rPr>
          <w:rFonts w:hint="default" w:ascii="Times New Roman Italic" w:hAnsi="Times New Roman Italic" w:cs="Times New Roman Italic"/>
          <w:b/>
          <w:bCs/>
          <w:i/>
          <w:iCs/>
        </w:rPr>
        <w:t xml:space="preserve"> </w:t>
      </w:r>
      <w:r>
        <w:rPr>
          <w:rFonts w:hint="default" w:ascii="Times New Roman Italic" w:hAnsi="Times New Roman Italic" w:cs="Times New Roman Italic"/>
          <w:b/>
          <w:bCs/>
          <w:i/>
          <w:iCs/>
          <w:lang w:val="en-US"/>
        </w:rPr>
        <w:t xml:space="preserve">(Exhibit 18) </w:t>
      </w:r>
      <w:r>
        <w:t>from the University of Washington School of Law and previously obtained graduate-level legal training from Northwest University in China</w:t>
      </w:r>
      <w:r>
        <w:rPr>
          <w:rFonts w:hint="default"/>
          <w:lang w:val="en-US"/>
        </w:rPr>
        <w:t xml:space="preserve"> </w:t>
      </w:r>
      <w:r>
        <w:rPr>
          <w:rFonts w:hint="default" w:ascii="Times New Roman Italic" w:hAnsi="Times New Roman Italic" w:cs="Times New Roman Italic"/>
          <w:b/>
          <w:bCs/>
          <w:i/>
          <w:iCs/>
          <w:lang w:val="en-US"/>
        </w:rPr>
        <w:t>(Exhibit 19)</w:t>
      </w:r>
      <w:r>
        <w:t>. This combination of legal education in both the United States and China has provided her with a comparative understanding of legal institutions, procedural systems, and access-to-justice issues, which directly supports her ability to analyze and improve indigent defense practices within the U.S. criminal justice system.</w:t>
      </w:r>
    </w:p>
    <w:p>
      <w:pPr>
        <w:pStyle w:val="11"/>
        <w:keepNext w:val="0"/>
        <w:keepLines w:val="0"/>
        <w:widowControl/>
        <w:suppressLineNumbers w:val="0"/>
      </w:pPr>
      <w:r>
        <w:t xml:space="preserve">During her LL.M. studies at the University of Washington School of Law, Ms. Liu demonstrated exceptional academic performance, earning a high academic standing and receiving the Spirit of Excellence Award </w:t>
      </w:r>
      <w:r>
        <w:rPr>
          <w:rFonts w:hint="default" w:ascii="Times New Roman Italic" w:hAnsi="Times New Roman Italic" w:cs="Times New Roman Italic"/>
          <w:b/>
          <w:bCs/>
          <w:i/>
          <w:iCs/>
          <w:lang w:val="en-US"/>
        </w:rPr>
        <w:t xml:space="preserve">(Exhibit 20) </w:t>
      </w:r>
      <w:r>
        <w:t>in recognition of her outstanding achievements. This recognition reflects not only her legal knowledge and analytical ability, but also her capacity to excel in a rigorous U.S. legal education environment.</w:t>
      </w:r>
    </w:p>
    <w:p>
      <w:pPr>
        <w:pStyle w:val="11"/>
        <w:keepNext w:val="0"/>
        <w:keepLines w:val="0"/>
        <w:widowControl/>
        <w:suppressLineNumbers w:val="0"/>
      </w:pPr>
      <w:r>
        <w:t>Beyond academic preparation, Ms. Liu has developed practical legal experience across multiple areas of U.S. legal practice, including family law, immigration law, intellectual property law, and criminal defense. Prior to her legal practice in the United States, she also served as in-house counsel at a Fortune Global 500 company in China</w:t>
      </w:r>
      <w:r>
        <w:rPr>
          <w:rFonts w:hint="default"/>
          <w:lang w:val="en-US"/>
        </w:rPr>
        <w:t xml:space="preserve"> </w:t>
      </w:r>
      <w:r>
        <w:rPr>
          <w:rFonts w:hint="default" w:ascii="Times New Roman Italic" w:hAnsi="Times New Roman Italic" w:cs="Times New Roman Italic"/>
          <w:b/>
          <w:bCs/>
          <w:i/>
          <w:iCs/>
          <w:lang w:val="en-US"/>
        </w:rPr>
        <w:t>(Exhibit 21)</w:t>
      </w:r>
      <w:r>
        <w:t>, where she handled complex legal matters involving commercial transactions and regulatory compliance. This diverse professional background has strengthened her ability to conduct legal analysis, manage complex matters, and understand institutional challenges across different legal contexts.</w:t>
      </w:r>
    </w:p>
    <w:p>
      <w:pPr>
        <w:pStyle w:val="11"/>
        <w:keepNext w:val="0"/>
        <w:keepLines w:val="0"/>
        <w:widowControl/>
        <w:suppressLineNumbers w:val="0"/>
        <w:spacing w:before="0" w:beforeAutospacing="1" w:after="0" w:afterAutospacing="1"/>
        <w:ind w:left="0" w:right="0"/>
      </w:pPr>
      <w:r>
        <w:t>Following her admission to the Washington State Bar, Ms. Liu transitioned into public defense, where she applies her legal training and professional experience to represent indigent defendants in criminal proceedings. Her unique combination of comparative legal education, demonstrated academic excellence, and multidisciplinary legal experience provides her with the knowledge and practical foundation necessary to advance her proposed endeavor of improving the quality, consistency, and effectiveness of indigent criminal defense services.</w:t>
      </w:r>
    </w:p>
    <w:p>
      <w:pPr>
        <w:pStyle w:val="11"/>
        <w:keepNext w:val="0"/>
        <w:keepLines w:val="0"/>
        <w:widowControl/>
        <w:suppressLineNumbers w:val="0"/>
        <w:rPr>
          <w:rFonts w:hint="eastAsia"/>
          <w:b/>
          <w:bCs/>
          <w:color w:val="auto"/>
          <w:lang w:val="en-US" w:eastAsia="zh-CN"/>
        </w:rPr>
      </w:pPr>
      <w:r>
        <w:rPr>
          <w:rFonts w:hint="eastAsia"/>
          <w:b/>
          <w:bCs/>
          <w:color w:val="auto"/>
          <w:lang w:val="en-US" w:eastAsia="zh-CN"/>
        </w:rPr>
        <w:t>2. Ms. Liu Has Demonstrated Professional Qualification and Legal Competency Through Admission to Multiple Bars</w:t>
      </w:r>
    </w:p>
    <w:p>
      <w:pPr>
        <w:pStyle w:val="11"/>
        <w:keepNext w:val="0"/>
        <w:keepLines w:val="0"/>
        <w:widowControl/>
        <w:suppressLineNumbers w:val="0"/>
        <w:spacing w:before="0" w:beforeAutospacing="1" w:after="0" w:afterAutospacing="1"/>
        <w:ind w:left="0" w:right="0"/>
      </w:pPr>
      <w:r>
        <w:t xml:space="preserve">Ms. Liu is further well positioned to advance her proposed endeavor through her demonstrated legal competency and professional qualifications as an attorney admitted in both China and the United States. Prior to practicing law in the United States, Ms. Liu successfully passed China’s National Unified Legal Professional Qualification Examination </w:t>
      </w:r>
      <w:r>
        <w:rPr>
          <w:rFonts w:hint="default" w:ascii="Times New Roman Italic" w:hAnsi="Times New Roman Italic" w:cs="Times New Roman Italic"/>
          <w:b/>
          <w:bCs/>
          <w:i/>
          <w:iCs/>
          <w:lang w:val="en-US"/>
        </w:rPr>
        <w:t>(Exhibit 22),</w:t>
      </w:r>
      <w:r>
        <w:rPr>
          <w:rFonts w:hint="default"/>
          <w:lang w:val="en-US"/>
        </w:rPr>
        <w:t xml:space="preserve"> </w:t>
      </w:r>
      <w:r>
        <w:t xml:space="preserve">one of the country’s most rigorous legal qualification examinations </w:t>
      </w:r>
      <w:r>
        <w:rPr>
          <w:rFonts w:hint="default" w:ascii="Times New Roman Italic" w:hAnsi="Times New Roman Italic" w:cs="Times New Roman Italic"/>
          <w:b/>
          <w:bCs/>
          <w:i/>
          <w:iCs/>
          <w:lang w:val="en-US"/>
        </w:rPr>
        <w:t xml:space="preserve">(Exhibit 23), </w:t>
      </w:r>
      <w:r>
        <w:t>demonstrating her strong foundation in legal reasoning, statutory analysis, and professional legal practice.</w:t>
      </w:r>
    </w:p>
    <w:p>
      <w:pPr>
        <w:pStyle w:val="11"/>
        <w:keepNext w:val="0"/>
        <w:keepLines w:val="0"/>
        <w:widowControl/>
        <w:suppressLineNumbers w:val="0"/>
      </w:pPr>
      <w:r>
        <w:t>After completing her LL.M. degree at the University of Washington School of Law, Ms. Liu successfully passed the Washington State Bar Examination and was admitted to practice law in Washington State</w:t>
      </w:r>
      <w:r>
        <w:rPr>
          <w:rFonts w:hint="default" w:ascii="Times New Roman Bold Italic" w:hAnsi="Times New Roman Bold Italic" w:cs="Times New Roman Bold Italic"/>
          <w:b/>
          <w:bCs/>
          <w:i/>
          <w:iCs/>
          <w:lang w:val="en-US"/>
        </w:rPr>
        <w:t xml:space="preserve"> (Exhibite 24)</w:t>
      </w:r>
      <w:r>
        <w:t>. Admission to the Washington State Bar reflects her ability to satisfy the professional standards required of attorneys practicing in the United States, including knowledge of U.S. legal principles, professional responsibility obligations, and the ability to provide competent legal representation.</w:t>
      </w:r>
    </w:p>
    <w:p>
      <w:pPr>
        <w:pStyle w:val="11"/>
        <w:keepNext w:val="0"/>
        <w:keepLines w:val="0"/>
        <w:widowControl/>
        <w:suppressLineNumbers w:val="0"/>
      </w:pPr>
      <w:r>
        <w:t>This dual qualification is particularly relevant to Ms. Liu’s proposed endeavor because improving indigent criminal defense services requires not only practical litigation experience, but also a sophisticated understanding of legal systems, procedural safeguards, and professional obligations governing criminal representation. Her ability to successfully transition from legal practice in China to independent legal practice in the United States demonstrates adaptability, legal analytical capability, and commitment to serving within the U.S. justice system.</w:t>
      </w:r>
    </w:p>
    <w:p>
      <w:pPr>
        <w:pStyle w:val="11"/>
        <w:keepNext w:val="0"/>
        <w:keepLines w:val="0"/>
        <w:widowControl/>
        <w:suppressLineNumbers w:val="0"/>
      </w:pPr>
      <w:r>
        <w:t>As a Washington-licensed attorney, Ms. Liu is authorized to directly participate in criminal proceedings and provide representation to indigent defendants. This professional qualification enables her to implement her proposed endeavor through direct advocacy, identification of systemic challenges within public defense practice, and development of effective approaches to improving the quality and consistency of indigent defense services.</w:t>
      </w:r>
    </w:p>
    <w:p>
      <w:pPr>
        <w:pStyle w:val="11"/>
        <w:keepNext w:val="0"/>
        <w:keepLines w:val="0"/>
        <w:widowControl/>
        <w:suppressLineNumbers w:val="0"/>
        <w:rPr>
          <w:b/>
          <w:bCs/>
          <w:color w:val="FF0000"/>
        </w:rPr>
      </w:pPr>
      <w:r>
        <w:rPr>
          <w:b/>
          <w:bCs/>
          <w:color w:val="auto"/>
          <w:lang w:val="en-US" w:eastAsia="zh-CN"/>
        </w:rPr>
        <w:t>3</w:t>
      </w:r>
      <w:r>
        <w:rPr>
          <w:rFonts w:hint="default"/>
          <w:b/>
          <w:bCs/>
          <w:color w:val="auto"/>
          <w:lang w:val="en-US" w:eastAsia="zh-CN"/>
        </w:rPr>
        <w:t>.</w:t>
      </w:r>
      <w:r>
        <w:rPr>
          <w:b/>
          <w:bCs/>
          <w:color w:val="auto"/>
          <w:lang w:val="en-US" w:eastAsia="zh-CN"/>
        </w:rPr>
        <w:t xml:space="preserve"> Ms. Liu Has Developed Extensive Frontline Experience and Firsthand Understanding of Challenges in Indigent Criminal Defense</w:t>
      </w:r>
    </w:p>
    <w:p>
      <w:pPr>
        <w:pStyle w:val="11"/>
        <w:keepNext w:val="0"/>
        <w:keepLines w:val="0"/>
        <w:widowControl/>
        <w:suppressLineNumbers w:val="0"/>
        <w:spacing w:before="0" w:beforeAutospacing="1" w:after="0" w:afterAutospacing="1"/>
        <w:ind w:left="0" w:right="0"/>
        <w:rPr>
          <w:rFonts w:hint="eastAsia" w:eastAsia="SimSun"/>
          <w:lang w:val="en-US" w:eastAsia="zh-CN"/>
        </w:rPr>
      </w:pPr>
      <w:r>
        <w:t>Ms. Liu is particularly well positioned to advance her proposed endeavor because she has developed substantial frontline experience providing indigent criminal defense services and possesses firsthand knowledge of the practical challenges affecting public defense systems. Prior to joining North County Public Defense, Ms. Liu gained exposure to criminal defense practice through her legal internship, where she assisted with criminal matters and developed foundational knowledge regarding criminal procedure, client advocacy, and defense strategies.</w:t>
      </w:r>
      <w:r>
        <w:rPr>
          <w:rFonts w:hint="default" w:ascii="Times New Roman Bold Italic" w:hAnsi="Times New Roman Bold Italic" w:cs="Times New Roman Bold Italic"/>
          <w:b/>
          <w:bCs/>
          <w:i/>
          <w:iCs/>
          <w:lang w:val="en-US"/>
        </w:rPr>
        <w:t xml:space="preserve"> (Exhibit 25)</w:t>
      </w:r>
      <w:r>
        <w:rPr>
          <w:rFonts w:hint="default" w:ascii="Times New Roman Bold Italic" w:hAnsi="Times New Roman Bold Italic" w:cs="Times New Roman Bold Italic"/>
          <w:b/>
          <w:bCs/>
          <w:i/>
          <w:iCs/>
          <w:lang w:val="en-US" w:eastAsia="zh-CN"/>
        </w:rPr>
        <w:t xml:space="preserve"> </w:t>
      </w:r>
    </w:p>
    <w:p>
      <w:pPr>
        <w:pStyle w:val="11"/>
        <w:keepNext w:val="0"/>
        <w:keepLines w:val="0"/>
        <w:widowControl/>
        <w:suppressLineNumbers w:val="0"/>
      </w:pPr>
      <w:r>
        <w:t>Since joining North County Public Defense, Ms. Liu has been directly engaged in representing indigent defendants in misdemeanor, gross misdemeanor, and felony criminal proceedings. Her responsibilities include conducting client interviews, reviewing evidence, analyzing legal issues, negotiating case resolutions, preparing legal arguments, and appearing regularly in court for arraignments, pretrial hearings, readiness hearings, probation matters, and other criminal proceedings.</w:t>
      </w:r>
      <w:r>
        <w:rPr>
          <w:rFonts w:hint="default"/>
          <w:lang w:val="en-US"/>
        </w:rPr>
        <w:t xml:space="preserve"> </w:t>
      </w:r>
      <w:r>
        <w:rPr>
          <w:rFonts w:hint="default" w:ascii="Times New Roman Italic" w:hAnsi="Times New Roman Italic" w:cs="Times New Roman Italic"/>
          <w:b/>
          <w:bCs/>
          <w:i/>
          <w:iCs/>
          <w:lang w:val="en-US"/>
        </w:rPr>
        <w:t>(Exhibit 26: Calendar)</w:t>
      </w:r>
      <w:r>
        <w:rPr>
          <w:rFonts w:hint="default" w:ascii="Times New Roman Italic" w:hAnsi="Times New Roman Italic" w:cs="Times New Roman Italic"/>
          <w:b/>
          <w:bCs/>
          <w:i/>
          <w:iCs/>
        </w:rPr>
        <w:t xml:space="preserve"> </w:t>
      </w:r>
      <w:r>
        <w:t>Through handling a substantial volume of criminal cases</w:t>
      </w:r>
      <w:r>
        <w:rPr>
          <w:rFonts w:hint="default"/>
          <w:lang w:val="en-US"/>
        </w:rPr>
        <w:t xml:space="preserve"> </w:t>
      </w:r>
      <w:r>
        <w:rPr>
          <w:rFonts w:hint="default" w:ascii="Times New Roman Bold Italic" w:hAnsi="Times New Roman Bold Italic" w:cs="Times New Roman Bold Italic"/>
          <w:b/>
          <w:bCs/>
          <w:i/>
          <w:iCs/>
          <w:lang w:val="en-US"/>
        </w:rPr>
        <w:t>(Exhibit 27: LIU WAS ASSIGNED 256 CASES UP TO JUNE, 2026)</w:t>
      </w:r>
      <w:r>
        <w:rPr>
          <w:rFonts w:hint="default" w:ascii="Times New Roman Bold Italic" w:hAnsi="Times New Roman Bold Italic" w:cs="Times New Roman Bold Italic"/>
          <w:b/>
          <w:bCs/>
          <w:i/>
          <w:iCs/>
        </w:rPr>
        <w:t>,</w:t>
      </w:r>
      <w:r>
        <w:t xml:space="preserve"> Ms. Liu has developed practical expertise in navigating the complex demands of high-volume public defense environments.</w:t>
      </w:r>
    </w:p>
    <w:p>
      <w:pPr>
        <w:pStyle w:val="11"/>
        <w:keepNext w:val="0"/>
        <w:keepLines w:val="0"/>
        <w:widowControl/>
        <w:suppressLineNumbers w:val="0"/>
      </w:pPr>
      <w:r>
        <w:t>Importantly, Ms. Liu’s experience has provided her with firsthand insight into the systemic challenges affecting the effective delivery of indigent defense services. Through her representation of defendants, including individuals experiencing pretrial detention, Ms. Liu has observed how financial limitations and prolonged detention can significantly influence defendants’ ability to make informed decisions regarding case resolution. Defendants who are unable to afford bail may experience substantial pressure to accept plea agreements in order to regain their liberty, even where they maintain potential defenses or dispute the allegations. These experiences have demonstrated to Ms. Liu that effective indigent defense requires not only courtroom advocacy, but also comprehensive case evaluation, meaningful client communication, strategic negotiation, and practices designed to ensure that defendants can make informed decisions consistent with their constitutional rights.</w:t>
      </w:r>
    </w:p>
    <w:p>
      <w:pPr>
        <w:pStyle w:val="11"/>
        <w:keepNext w:val="0"/>
        <w:keepLines w:val="0"/>
        <w:widowControl/>
        <w:suppressLineNumbers w:val="0"/>
        <w:rPr>
          <w:color w:val="FF0000"/>
        </w:rPr>
      </w:pPr>
      <w:r>
        <w:t>This firsthand understanding directly supports Ms. Liu’s proposed endeavor. By working within a resource-constrained public defense environment, Ms. Liu has developed practical knowledge of the barriers that affect defense quality, consistency, and effectiveness. Her experience positions her not only to provide individual representation, but also to identify, refine, and promote effective practices that can improve indigent defense delivery across similarly situated public defense systems.</w:t>
      </w:r>
    </w:p>
    <w:p>
      <w:pPr>
        <w:pStyle w:val="11"/>
        <w:keepNext w:val="0"/>
        <w:keepLines w:val="0"/>
        <w:widowControl/>
        <w:numPr>
          <w:ilvl w:val="0"/>
          <w:numId w:val="4"/>
        </w:numPr>
        <w:suppressLineNumbers w:val="0"/>
        <w:rPr>
          <w:b/>
          <w:bCs/>
          <w:color w:val="auto"/>
          <w:lang w:val="en-US" w:eastAsia="zh-CN"/>
        </w:rPr>
      </w:pPr>
      <w:r>
        <w:rPr>
          <w:rFonts w:hint="eastAsia"/>
          <w:b/>
          <w:bCs/>
          <w:color w:val="auto"/>
          <w:lang w:val="en-US" w:eastAsia="zh-CN"/>
        </w:rPr>
        <w:t>Ms. Liu Has Demonstrated the Ability to Achieve Meaningful Results Through Effective Legal Advocacy</w:t>
      </w:r>
    </w:p>
    <w:p>
      <w:pPr>
        <w:pStyle w:val="11"/>
        <w:keepNext w:val="0"/>
        <w:keepLines w:val="0"/>
        <w:widowControl/>
        <w:suppressLineNumbers w:val="0"/>
        <w:spacing w:before="0" w:beforeAutospacing="1" w:after="0" w:afterAutospacing="1"/>
        <w:ind w:left="0" w:right="0"/>
      </w:pPr>
      <w:r>
        <w:t>Ms. Liu is further well positioned to advance her proposed endeavor because she has demonstrated the ability to achieve meaningful outcomes for indigent defendants through effective legal advocacy. In public defense practice, meaningful representation is not measured solely by trial victories, but by whether defense counsel can ensure that criminal outcomes are based on accurate factual assessments, applicable legal standards, and individualized consideration of each defendant’s circumstances.</w:t>
      </w:r>
    </w:p>
    <w:p>
      <w:pPr>
        <w:pStyle w:val="11"/>
        <w:keepNext w:val="0"/>
        <w:keepLines w:val="0"/>
        <w:widowControl/>
        <w:suppressLineNumbers w:val="0"/>
        <w:rPr>
          <w:rFonts w:hint="default"/>
          <w:lang w:val="en-US"/>
        </w:rPr>
      </w:pPr>
      <w:r>
        <w:t>Since joining North County Public Defense, Ms. Liu has represented defendants in a wide range of misdemeanor, gross misdemeanor, and felony matters. Through careful case analysis, evidentiary review, legal research, negotiation, and courtroom advocacy, she has successfully obtained a variety of favorable resolutions, including dismissals, conditional dismissals, reductions to lesser charges, and negotiated outcomes that significantly reduced the potential consequences faced by defendants.</w:t>
      </w:r>
      <w:r>
        <w:rPr>
          <w:rFonts w:hint="default"/>
          <w:lang w:val="en-US"/>
        </w:rPr>
        <w:t xml:space="preserve"> </w:t>
      </w:r>
      <w:r>
        <w:rPr>
          <w:rFonts w:hint="default"/>
          <w:lang w:val="en-US" w:eastAsia="zh-CN"/>
        </w:rPr>
        <w:t>The following representative matters illustrate how Ms. Liu has translated legal knowledge into meaningful results for indigent defendants.</w:t>
      </w:r>
    </w:p>
    <w:p>
      <w:pPr>
        <w:pStyle w:val="11"/>
        <w:keepNext w:val="0"/>
        <w:keepLines w:val="0"/>
        <w:widowControl/>
        <w:numPr>
          <w:ilvl w:val="0"/>
          <w:numId w:val="5"/>
        </w:numPr>
        <w:suppressLineNumbers w:val="0"/>
        <w:rPr>
          <w:b w:val="0"/>
          <w:bCs w:val="0"/>
        </w:rPr>
      </w:pPr>
      <w:r>
        <w:rPr>
          <w:b w:val="0"/>
          <w:bCs w:val="0"/>
          <w:lang w:val="en-US" w:eastAsia="zh-CN"/>
        </w:rPr>
        <w:t>Representative Matter: Dismissal Based on Evidentiary Deficiencies</w:t>
      </w:r>
    </w:p>
    <w:p>
      <w:pPr>
        <w:pStyle w:val="11"/>
        <w:keepNext w:val="0"/>
        <w:keepLines w:val="0"/>
        <w:widowControl/>
        <w:suppressLineNumbers w:val="0"/>
      </w:pPr>
      <w:r>
        <w:t>Ms. Liu represented a defendant charged with Assault in the Fourth Degree–Domestic Violence</w:t>
      </w:r>
      <w:r>
        <w:rPr>
          <w:rFonts w:hint="eastAsia"/>
          <w:lang w:val="en-US" w:eastAsia="zh-CN"/>
        </w:rPr>
        <w:t xml:space="preserve"> and</w:t>
      </w:r>
      <w:r>
        <w:rPr>
          <w:rFonts w:hint="default"/>
          <w:lang w:val="en-US" w:eastAsia="zh-CN"/>
        </w:rPr>
        <w:t xml:space="preserve"> ultimately succeeded in having the case dismissed.</w:t>
      </w:r>
      <w:r>
        <w:t xml:space="preserve"> </w:t>
      </w:r>
      <w:r>
        <w:rPr>
          <w:lang w:val="en-US" w:eastAsia="zh-CN"/>
        </w:rPr>
        <w:t>According to the police reports, the State alleged that</w:t>
      </w:r>
      <w:r>
        <w:t xml:space="preserve"> the defendant had placed his hands around the </w:t>
      </w:r>
      <w:r>
        <w:rPr>
          <w:rFonts w:hint="eastAsia"/>
          <w:lang w:val="en-US" w:eastAsia="zh-CN"/>
        </w:rPr>
        <w:t>alleged victim</w:t>
      </w:r>
      <w:r>
        <w:t xml:space="preserve">’s neck during a domestic dispute and prevented the complainant from contacting law enforcement. The State initially considered the case to be well supported by witness statements, photographic evidence documenting visible redness on the </w:t>
      </w:r>
      <w:r>
        <w:rPr>
          <w:rFonts w:hint="eastAsia"/>
          <w:lang w:val="en-US" w:eastAsia="zh-CN"/>
        </w:rPr>
        <w:t>alleged victim</w:t>
      </w:r>
      <w:r>
        <w:t>’s neck, and other investigative materials.</w:t>
      </w:r>
    </w:p>
    <w:p>
      <w:pPr>
        <w:pStyle w:val="11"/>
        <w:keepNext w:val="0"/>
        <w:keepLines w:val="0"/>
        <w:widowControl/>
        <w:suppressLineNumbers w:val="0"/>
        <w:rPr>
          <w:rFonts w:hint="default"/>
          <w:lang w:val="en-US"/>
        </w:rPr>
      </w:pPr>
      <w:r>
        <w:t xml:space="preserve">Rather than accepting the prosecution’s assessment at face value, Ms. Liu conducted a comprehensive review of the discovery, performed extensive legal research, carefully analyzed the admissibility and reliability of the State’s evidence, identified procedural and evidentiary issues affecting the prosecution’s case, and </w:t>
      </w:r>
      <w:r>
        <w:rPr>
          <w:lang w:val="en-US" w:eastAsia="zh-CN"/>
        </w:rPr>
        <w:t xml:space="preserve">maintained appropriate communication with the </w:t>
      </w:r>
      <w:r>
        <w:rPr>
          <w:rFonts w:hint="default"/>
          <w:lang w:val="en-US" w:eastAsia="zh-CN"/>
        </w:rPr>
        <w:t xml:space="preserve">alleged victim </w:t>
      </w:r>
      <w:r>
        <w:rPr>
          <w:lang w:val="en-US" w:eastAsia="zh-CN"/>
        </w:rPr>
        <w:t>where permitted under applicable procedures</w:t>
      </w:r>
      <w:r>
        <w:t>. Through this process, she identified weaknesses that significantly undermined the State’s ability to satisfy its burden of proof. After further review and negotiations, the prosecution ultimately dismissed the charge due to insufficient evidence.</w:t>
      </w:r>
      <w:r>
        <w:rPr>
          <w:rFonts w:hint="default"/>
          <w:lang w:val="en-US"/>
        </w:rPr>
        <w:t xml:space="preserve"> </w:t>
      </w:r>
      <w:r>
        <w:rPr>
          <w:rFonts w:hint="default"/>
          <w:lang w:val="en-US" w:eastAsia="zh-CN"/>
        </w:rPr>
        <w:t>Although the prosecution initially viewed the evidence as sufficient to proceed, Ms. Liu's independent legal analysis revealed weaknesses that materially affected the State's ability to establish the charged offense beyond a reasonable doubt.</w:t>
      </w:r>
    </w:p>
    <w:p>
      <w:pPr>
        <w:pStyle w:val="11"/>
        <w:keepNext w:val="0"/>
        <w:keepLines w:val="0"/>
        <w:widowControl/>
        <w:suppressLineNumbers w:val="0"/>
      </w:pPr>
      <w:r>
        <w:t>This matter demonstrates Ms. Liu’s ability to critically evaluate criminal evidence, recognize legal deficiencies that may not be apparent from the initial charging decision, and ensure that criminal prosecutions proceed only where supported by sufficient admissible evidence. It further reflects the type of careful legal analysis and effective advocacy that advances the accuracy, fairness, and reliability of criminal adjudication—the central objectives of her proposed endeavor.</w:t>
      </w:r>
    </w:p>
    <w:p>
      <w:pPr>
        <w:pStyle w:val="11"/>
        <w:keepNext w:val="0"/>
        <w:keepLines w:val="0"/>
        <w:widowControl/>
        <w:numPr>
          <w:ilvl w:val="0"/>
          <w:numId w:val="5"/>
        </w:numPr>
        <w:suppressLineNumbers w:val="0"/>
        <w:rPr>
          <w:rFonts w:hint="default"/>
          <w:b w:val="0"/>
          <w:bCs w:val="0"/>
          <w:lang w:val="en-US" w:eastAsia="zh-CN"/>
        </w:rPr>
      </w:pPr>
      <w:r>
        <w:rPr>
          <w:rFonts w:hint="default"/>
          <w:b w:val="0"/>
          <w:bCs w:val="0"/>
          <w:lang w:val="en-US" w:eastAsia="zh-CN"/>
        </w:rPr>
        <w:t>Representative Matter: Achieving an Exceptional Resolution Through Strategic Negotiation</w:t>
      </w:r>
    </w:p>
    <w:p>
      <w:pPr>
        <w:pStyle w:val="11"/>
        <w:keepNext w:val="0"/>
        <w:keepLines w:val="0"/>
        <w:widowControl/>
        <w:suppressLineNumbers w:val="0"/>
        <w:spacing w:before="0" w:beforeAutospacing="1" w:after="0" w:afterAutospacing="1"/>
        <w:ind w:left="0" w:right="0"/>
      </w:pPr>
      <w:r>
        <w:t xml:space="preserve">One representative matter involved a defendant charged with Driving Under the Influence (DUI) who had two prior DUI convictions within seven years. Based on the defendant's criminal history and the alleged </w:t>
      </w:r>
      <w:r>
        <w:rPr>
          <w:lang w:val="en-US" w:eastAsia="zh-CN"/>
        </w:rPr>
        <w:t>alcohol concentration</w:t>
      </w:r>
      <w:r>
        <w:t xml:space="preserve">, the charged offense subjected the defendant to substantial mandatory penalties under Washington law, including a significant mandatory </w:t>
      </w:r>
      <w:r>
        <w:rPr>
          <w:rFonts w:hint="eastAsia"/>
          <w:lang w:val="en-US" w:eastAsia="zh-CN"/>
        </w:rPr>
        <w:t>j</w:t>
      </w:r>
      <w:r>
        <w:rPr>
          <w:rFonts w:hint="default"/>
          <w:lang w:val="en-US" w:eastAsia="zh-CN"/>
        </w:rPr>
        <w:t>ail time</w:t>
      </w:r>
      <w:r>
        <w:t>, lengthy</w:t>
      </w:r>
      <w:r>
        <w:rPr>
          <w:rFonts w:hint="default"/>
          <w:lang w:val="en-US"/>
        </w:rPr>
        <w:t xml:space="preserve"> electronic</w:t>
      </w:r>
      <w:r>
        <w:t xml:space="preserve"> home detention, substantial financial penalties, and a four-year driver's license revocation.</w:t>
      </w:r>
    </w:p>
    <w:p>
      <w:pPr>
        <w:pStyle w:val="11"/>
        <w:keepNext w:val="0"/>
        <w:keepLines w:val="0"/>
        <w:widowControl/>
        <w:suppressLineNumbers w:val="0"/>
      </w:pPr>
      <w:r>
        <w:t>Rather than limiting her representation to routine plea negotiations, Ms. Liu conducted a comprehensive review of the discovery, analyzed the prosecution's evidence, researched the applicable statutory and case law, and carefully evaluated potential legal and factual issues affecting the State's case. She also devoted</w:t>
      </w:r>
      <w:r>
        <w:rPr>
          <w:rFonts w:hint="default"/>
          <w:lang w:val="en-US"/>
        </w:rPr>
        <w:t xml:space="preserve"> </w:t>
      </w:r>
      <w:r>
        <w:t xml:space="preserve">substantial time to communicating with the defendant in order to fully understand the underlying circumstances, personal background, prior treatment history, and other mitigating factors that could support a more individualized resolution. </w:t>
      </w:r>
      <w:r>
        <w:rPr>
          <w:rFonts w:hint="default"/>
          <w:lang w:val="en-US"/>
        </w:rPr>
        <w:t xml:space="preserve">She futher carefully reviewed body-worn camera footage, analyzed field sobriety test performance, examined compliance with constitutional and procedural requirements during the traffic stop. </w:t>
      </w:r>
      <w:r>
        <w:t>Based on this comprehensive case assessment, Ms. Liu developed a strategic negotiation approach that emphasized both the evidentiary issues and the broader interests of justice.</w:t>
      </w:r>
    </w:p>
    <w:p>
      <w:pPr>
        <w:pStyle w:val="11"/>
        <w:keepNext w:val="0"/>
        <w:keepLines w:val="0"/>
        <w:widowControl/>
        <w:suppressLineNumbers w:val="0"/>
      </w:pPr>
      <w:r>
        <w:t xml:space="preserve">Following extensive negotiations with the prosecutor, Ms. Liu successfully secured a reduction of the charge from </w:t>
      </w:r>
      <w:r>
        <w:rPr>
          <w:rFonts w:hint="default"/>
          <w:lang w:val="en-US"/>
        </w:rPr>
        <w:t xml:space="preserve">a 3(B) </w:t>
      </w:r>
      <w:r>
        <w:t>DUI to Reckless Driving. As a result, the defendant avoided the mandatory minimum jail sentence that otherwise would have applied, substantially reduced the period of license suspension, and significantly minimized the long-term collateral consequences associated with the original charge. Given the defendant's prior record and the sentencing exposure under Washington law, this represented an exceptionally favorable resolution.</w:t>
      </w:r>
    </w:p>
    <w:p>
      <w:pPr>
        <w:pStyle w:val="11"/>
        <w:keepNext w:val="0"/>
        <w:keepLines w:val="0"/>
        <w:widowControl/>
        <w:suppressLineNumbers w:val="0"/>
      </w:pPr>
      <w:r>
        <w:t>This matter demonstrates Ms. Liu's ability to combine legal analysis, strategic negotiation, and individualized advocacy to achieve outcomes that are both legally sound and proportionate. It further reflects the practical judgment and professional skills necessary to improve the quality and effectiveness of indigent criminal defense services, directly supporting her proposed endeavor.</w:t>
      </w:r>
    </w:p>
    <w:p>
      <w:pPr>
        <w:pStyle w:val="11"/>
        <w:keepNext w:val="0"/>
        <w:keepLines w:val="0"/>
        <w:widowControl/>
        <w:numPr>
          <w:ilvl w:val="0"/>
          <w:numId w:val="5"/>
        </w:numPr>
        <w:suppressLineNumbers w:val="0"/>
        <w:rPr>
          <w:rFonts w:hint="default"/>
          <w:b w:val="0"/>
          <w:bCs w:val="0"/>
          <w:lang w:val="en-US" w:eastAsia="zh-CN"/>
        </w:rPr>
      </w:pPr>
      <w:r>
        <w:rPr>
          <w:rFonts w:hint="default"/>
          <w:b w:val="0"/>
          <w:bCs w:val="0"/>
          <w:lang w:val="en-US" w:eastAsia="zh-CN"/>
        </w:rPr>
        <w:t>Coordinating a Global Resolution Across Multiple Jurisdictions</w:t>
      </w:r>
    </w:p>
    <w:p>
      <w:pPr>
        <w:pStyle w:val="11"/>
        <w:keepNext w:val="0"/>
        <w:keepLines w:val="0"/>
        <w:widowControl/>
        <w:numPr>
          <w:numId w:val="0"/>
        </w:numPr>
        <w:suppressLineNumbers w:val="0"/>
        <w:ind w:right="0" w:rightChars="0"/>
        <w:rPr>
          <w:rFonts w:hint="default"/>
          <w:b w:val="0"/>
          <w:bCs w:val="0"/>
          <w:lang w:val="en-US" w:eastAsia="zh-CN"/>
        </w:rPr>
      </w:pPr>
      <w:r>
        <w:rPr>
          <w:rFonts w:hint="default"/>
          <w:b w:val="0"/>
          <w:bCs w:val="0"/>
          <w:lang w:val="en-US" w:eastAsia="zh-CN"/>
        </w:rPr>
        <w:t>In another representative matter, Ms. Liu represented an indigent defendant facing numerous pending criminal cases across multiple Washington jurisdictions, including felony charges in Superior Court, misdemeanor offenses in District Court, and additional matters in Municipal Court. The defendant remained in custody because he was unable to post bail and relied primarily on public assistance for financial support. Without coordinated representation, the defendant faced prolonged incarceration, duplicative proceedings, and inconsistent sentencing outcomes.</w:t>
      </w:r>
    </w:p>
    <w:p>
      <w:pPr>
        <w:pStyle w:val="11"/>
        <w:keepNext w:val="0"/>
        <w:keepLines w:val="0"/>
        <w:widowControl/>
        <w:suppressLineNumbers w:val="0"/>
        <w:rPr>
          <w:rFonts w:hint="default"/>
          <w:lang w:val="en-US"/>
        </w:rPr>
      </w:pPr>
      <w:r>
        <w:rPr>
          <w:rFonts w:hint="eastAsia"/>
          <w:b w:val="0"/>
          <w:bCs w:val="0"/>
          <w:lang w:val="en-US" w:eastAsia="zh-CN"/>
        </w:rPr>
        <w:t>Ms.</w:t>
      </w:r>
      <w:r>
        <w:rPr>
          <w:rFonts w:hint="default"/>
          <w:b w:val="0"/>
          <w:bCs w:val="0"/>
          <w:lang w:val="en-US" w:eastAsia="zh-CN"/>
        </w:rPr>
        <w:t xml:space="preserve"> Liu </w:t>
      </w:r>
      <w:r>
        <w:t>reviewed pending cases across multiple jurisdictions to identify opportunities for coordinated resolution</w:t>
      </w:r>
      <w:r>
        <w:rPr>
          <w:rFonts w:hint="default"/>
          <w:lang w:val="en-US"/>
        </w:rPr>
        <w:t xml:space="preserve">, </w:t>
      </w:r>
      <w:r>
        <w:t>communicated with prosecutors and defense counsel handling the defendant's other cases to avoid inconsistent dispositions</w:t>
      </w:r>
      <w:r>
        <w:rPr>
          <w:rFonts w:hint="default"/>
          <w:lang w:val="en-US"/>
        </w:rPr>
        <w:t xml:space="preserve">, </w:t>
      </w:r>
      <w:r>
        <w:t>evaluated sentencing exposure across all pending matters and developed a unified negotiation strategy</w:t>
      </w:r>
      <w:r>
        <w:rPr>
          <w:rFonts w:hint="default"/>
          <w:lang w:val="en-US"/>
        </w:rPr>
        <w:t xml:space="preserve">, </w:t>
      </w:r>
      <w:r>
        <w:t>prepared motions and supporting materials requesting temporary release for substance-use assessment and treatment</w:t>
      </w:r>
      <w:r>
        <w:rPr>
          <w:rFonts w:hint="default"/>
          <w:lang w:val="en-US"/>
        </w:rPr>
        <w:t xml:space="preserve">, she also </w:t>
      </w:r>
      <w:r>
        <w:t>gathered mitigation information regarding the defendant's personal circumstances, financial condition, and treatment needs</w:t>
      </w:r>
      <w:r>
        <w:rPr>
          <w:rFonts w:hint="default"/>
          <w:lang w:val="en-US"/>
        </w:rPr>
        <w:t xml:space="preserve">, </w:t>
      </w:r>
      <w:r>
        <w:t>advocated for treatment-oriented alternatives that would better address the underlying causes of repeated criminal conduct</w:t>
      </w:r>
      <w:r>
        <w:rPr>
          <w:rFonts w:hint="default"/>
          <w:lang w:val="en-US"/>
        </w:rPr>
        <w:t>.</w:t>
      </w:r>
    </w:p>
    <w:p>
      <w:pPr>
        <w:pStyle w:val="11"/>
        <w:keepNext w:val="0"/>
        <w:keepLines w:val="0"/>
        <w:widowControl/>
        <w:suppressLineNumbers w:val="0"/>
        <w:rPr>
          <w:rFonts w:hint="default"/>
          <w:lang w:val="en-US"/>
        </w:rPr>
      </w:pPr>
      <w:r>
        <w:rPr>
          <w:rFonts w:hint="default"/>
          <w:lang w:val="en-US" w:eastAsia="zh-CN"/>
        </w:rPr>
        <w:t>Through these coordinated efforts, Ms. Liu successfully negotiated a comprehensive global resolution under which the defendant's multiple cases were resolved concurrently rather than consecutively. The negotiated disposition substantially reduced the defendant's overall custodial exposure while allowing treatment participation to count toward portions of the imposed sentence. This resolution enabled the defendant to begin addressing the underlying substance-use issues that contributed to repeated criminal involvement while avoiding unnecessary duplication of punishment across multiple jurisdictions.</w:t>
      </w:r>
    </w:p>
    <w:p>
      <w:pPr>
        <w:pStyle w:val="11"/>
        <w:keepNext w:val="0"/>
        <w:keepLines w:val="0"/>
        <w:widowControl/>
        <w:suppressLineNumbers w:val="0"/>
        <w:rPr>
          <w:rFonts w:hint="default"/>
          <w:lang w:val="en-US"/>
        </w:rPr>
      </w:pPr>
      <w:r>
        <w:t>This matter demonstrates Ms. Liu's ability to manage complex, multi-jurisdictional criminal matters requiring coordination among multiple courts, attorneys, prosecutors, and treatment providers. Rather than addressing each case in isolation, she developed an integrated strategy that promoted efficient case resolution, reduced unnecessary litigation, and supported meaningful rehabilitation. These are precisely the types of practical, replicable defense practices that her proposed endeavor seeks to advance within resource-constrained public defense systems nationwide.</w:t>
      </w:r>
    </w:p>
    <w:p>
      <w:pPr>
        <w:pStyle w:val="11"/>
        <w:keepNext w:val="0"/>
        <w:keepLines w:val="0"/>
        <w:widowControl/>
        <w:numPr>
          <w:ilvl w:val="0"/>
          <w:numId w:val="4"/>
        </w:numPr>
        <w:suppressLineNumbers w:val="0"/>
        <w:rPr>
          <w:rFonts w:hint="eastAsia"/>
          <w:b/>
          <w:bCs/>
          <w:color w:val="auto"/>
          <w:lang w:val="en-US" w:eastAsia="zh-CN"/>
        </w:rPr>
      </w:pPr>
      <w:r>
        <w:rPr>
          <w:rFonts w:hint="default"/>
          <w:b/>
          <w:bCs/>
          <w:color w:val="auto"/>
          <w:lang w:val="en-US" w:eastAsia="zh-CN"/>
        </w:rPr>
        <w:t>Her Capacity to Develop and Promote Effective, Replicable Practices Through High-Volume Public Defense Representation</w:t>
      </w:r>
    </w:p>
    <w:p>
      <w:pPr>
        <w:pStyle w:val="11"/>
        <w:keepNext w:val="0"/>
        <w:keepLines w:val="0"/>
        <w:widowControl/>
        <w:numPr>
          <w:ilvl w:val="0"/>
          <w:numId w:val="6"/>
        </w:numPr>
        <w:suppressLineNumbers w:val="0"/>
        <w:spacing w:before="0" w:beforeAutospacing="1" w:after="0" w:afterAutospacing="1"/>
        <w:ind w:right="0" w:rightChars="0"/>
        <w:jc w:val="left"/>
        <w:rPr>
          <w:rFonts w:hint="default"/>
          <w:b w:val="0"/>
          <w:bCs w:val="0"/>
          <w:color w:val="auto"/>
          <w:lang w:val="en-US" w:eastAsia="zh-CN"/>
        </w:rPr>
      </w:pPr>
      <w:r>
        <w:rPr>
          <w:rFonts w:hint="default"/>
          <w:b w:val="0"/>
          <w:bCs w:val="0"/>
          <w:color w:val="auto"/>
          <w:lang w:val="en-US" w:eastAsia="zh-CN"/>
        </w:rPr>
        <w:t>Ability to identify recurring systemic problems</w:t>
      </w:r>
    </w:p>
    <w:p>
      <w:pPr>
        <w:pStyle w:val="11"/>
        <w:keepNext w:val="0"/>
        <w:keepLines w:val="0"/>
        <w:widowControl/>
        <w:suppressLineNumbers w:val="0"/>
        <w:rPr>
          <w:rFonts w:hint="default"/>
          <w:lang w:val="en-US" w:eastAsia="zh-CN"/>
        </w:rPr>
      </w:pPr>
      <w:r>
        <w:rPr>
          <w:rFonts w:hint="default"/>
          <w:lang w:val="en-US" w:eastAsia="zh-CN"/>
        </w:rPr>
        <w:t xml:space="preserve">Through representing a high volume of indigent criminal defendants across a wide range of criminal matters, Ms. Liu has developed the ability to identify recurring legal and operational challenges that repeatedly affect the quality and effectiveness of public defense representation. Rather than viewing each case as an isolated dispute, her extensive frontline experience has enabled her to recognize patterns that arise across numerous cases. </w:t>
      </w:r>
    </w:p>
    <w:p>
      <w:pPr>
        <w:pStyle w:val="11"/>
        <w:keepNext w:val="0"/>
        <w:keepLines w:val="0"/>
        <w:widowControl/>
        <w:suppressLineNumbers w:val="0"/>
        <w:rPr>
          <w:rFonts w:hint="default"/>
          <w:lang w:val="en-US" w:eastAsia="zh-CN"/>
        </w:rPr>
      </w:pPr>
      <w:r>
        <w:rPr>
          <w:rFonts w:hint="default"/>
          <w:lang w:val="en-US" w:eastAsia="zh-CN"/>
        </w:rPr>
        <w:t xml:space="preserve">For example, she has repeatedly encountered investigations in which law enforcement failed to adequately develop or preserve critical evidence, probable cause affidavits that lacked sufficient factual allegations to support the charged offenses, and recurring procedural deficiencies during police investigations or prosecutorial case handling that materially affected defendants' rights. She has also observed that incarcerated defendants frequently encounter similar obstacles in communicating with counsel, gathering supporting evidence, accessing treatment or community-based resources, and otherwise protecting their constitutional interests while detained. In addition, she has repeatedly encountered situations in which prosecutors were reluctant to agree to temporary release requests for detained defendants because of concerns regarding continued supervision and ensuring future court appearances, even where defendants presented substantial and legitimate reasons supporting temporary release. </w:t>
      </w:r>
    </w:p>
    <w:p>
      <w:pPr>
        <w:pStyle w:val="11"/>
        <w:keepNext w:val="0"/>
        <w:keepLines w:val="0"/>
        <w:widowControl/>
        <w:suppressLineNumbers w:val="0"/>
        <w:rPr>
          <w:rFonts w:hint="default"/>
          <w:b/>
          <w:bCs/>
          <w:color w:val="auto"/>
          <w:lang w:val="en-US" w:eastAsia="zh-CN"/>
        </w:rPr>
      </w:pPr>
      <w:r>
        <w:rPr>
          <w:rFonts w:hint="default"/>
          <w:lang w:val="en-US" w:eastAsia="zh-CN"/>
        </w:rPr>
        <w:t>These recurring experiences have enabled Ms. Liu to anticipate common legal and practical obstacles affecting indigent defendants and to recognize that early identification of mitigating evidence, prompt recognition of dispositive legal issues, and proactive responses to foreseeable procedural concerns often result in more favorable case resolutions while avoiding unnecessary litigation and conserving judicial resources. By recognizing these recurring patterns across hundreds of cases, rather than treating each matter independently, Ms. Liu has developed the professional judgment necessary to identify opportunities for more consistent, efficient, and constitutionally effective representation. This pattern-recognition ability provides the essential foundation for developing practical, replicable defense practices capable of benefiting similarly situated indigent defendants in resource-constrained public. Her experience has also enabled her to recognize that many favorable outcomes depend not only on identifying legal issues, but on identifying them early enough to influence charging decisions, plea negotiations, investigative strategy, and sentencing advocacy.</w:t>
      </w:r>
    </w:p>
    <w:p>
      <w:pPr>
        <w:pStyle w:val="11"/>
        <w:keepNext w:val="0"/>
        <w:keepLines w:val="0"/>
        <w:widowControl/>
        <w:numPr>
          <w:ilvl w:val="0"/>
          <w:numId w:val="6"/>
        </w:numPr>
        <w:suppressLineNumbers w:val="0"/>
        <w:spacing w:before="0" w:beforeAutospacing="1" w:after="0" w:afterAutospacing="1"/>
        <w:ind w:right="0" w:rightChars="0"/>
        <w:jc w:val="left"/>
        <w:rPr>
          <w:rFonts w:hint="default"/>
          <w:b/>
          <w:bCs/>
          <w:color w:val="auto"/>
          <w:lang w:val="en-US" w:eastAsia="zh-CN"/>
        </w:rPr>
      </w:pPr>
      <w:r>
        <w:rPr>
          <w:rFonts w:hint="default"/>
          <w:b/>
          <w:bCs/>
          <w:color w:val="auto"/>
          <w:lang w:val="en-US" w:eastAsia="zh-CN"/>
        </w:rPr>
        <w:t>Ability to refine effective practices</w:t>
      </w:r>
    </w:p>
    <w:p>
      <w:pPr>
        <w:pStyle w:val="11"/>
        <w:keepNext w:val="0"/>
        <w:keepLines w:val="0"/>
        <w:widowControl/>
        <w:numPr>
          <w:numId w:val="0"/>
        </w:numPr>
        <w:suppressLineNumbers w:val="0"/>
        <w:spacing w:before="0" w:beforeAutospacing="1" w:after="0" w:afterAutospacing="1"/>
        <w:ind w:right="0" w:rightChars="0"/>
        <w:jc w:val="left"/>
        <w:rPr>
          <w:rFonts w:hint="default"/>
          <w:b/>
          <w:bCs/>
          <w:color w:val="auto"/>
          <w:lang w:val="en-US" w:eastAsia="zh-CN"/>
        </w:rPr>
      </w:pPr>
      <w:r>
        <w:rPr>
          <w:rFonts w:hint="eastAsia"/>
          <w:b/>
          <w:bCs/>
          <w:color w:val="auto"/>
          <w:lang w:val="en-US" w:eastAsia="zh-CN"/>
        </w:rPr>
        <w:t>todo</w:t>
      </w:r>
      <w:bookmarkStart w:id="4" w:name="_GoBack"/>
      <w:bookmarkEnd w:id="4"/>
    </w:p>
    <w:p>
      <w:pPr>
        <w:pStyle w:val="11"/>
        <w:keepNext w:val="0"/>
        <w:keepLines w:val="0"/>
        <w:widowControl/>
        <w:numPr>
          <w:numId w:val="0"/>
        </w:numPr>
        <w:suppressLineNumbers w:val="0"/>
        <w:spacing w:before="0" w:beforeAutospacing="1" w:after="0" w:afterAutospacing="1"/>
        <w:ind w:right="0" w:rightChars="0"/>
        <w:jc w:val="left"/>
        <w:rPr>
          <w:rFonts w:hint="default"/>
          <w:b/>
          <w:bCs/>
          <w:color w:val="auto"/>
          <w:lang w:val="en-US" w:eastAsia="zh-CN"/>
        </w:rPr>
      </w:pPr>
    </w:p>
    <w:p>
      <w:pPr>
        <w:pStyle w:val="11"/>
        <w:keepNext w:val="0"/>
        <w:keepLines w:val="0"/>
        <w:widowControl/>
        <w:numPr>
          <w:numId w:val="0"/>
        </w:numPr>
        <w:suppressLineNumbers w:val="0"/>
        <w:spacing w:before="0" w:beforeAutospacing="1" w:after="0" w:afterAutospacing="1"/>
        <w:ind w:right="0" w:rightChars="0"/>
        <w:jc w:val="left"/>
        <w:rPr>
          <w:rFonts w:hint="default"/>
          <w:b/>
          <w:bCs/>
          <w:color w:val="auto"/>
          <w:lang w:val="en-US" w:eastAsia="zh-CN"/>
        </w:rPr>
      </w:pPr>
    </w:p>
    <w:p>
      <w:pPr>
        <w:pStyle w:val="11"/>
        <w:keepNext w:val="0"/>
        <w:keepLines w:val="0"/>
        <w:widowControl/>
        <w:numPr>
          <w:numId w:val="0"/>
        </w:numPr>
        <w:suppressLineNumbers w:val="0"/>
        <w:spacing w:before="0" w:beforeAutospacing="1" w:after="0" w:afterAutospacing="1"/>
        <w:ind w:right="0" w:rightChars="0"/>
        <w:jc w:val="left"/>
        <w:rPr>
          <w:rFonts w:hint="default"/>
          <w:b/>
          <w:bCs/>
          <w:color w:val="auto"/>
          <w:lang w:val="en-US" w:eastAsia="zh-CN"/>
        </w:rPr>
      </w:pPr>
    </w:p>
    <w:p>
      <w:pPr>
        <w:pStyle w:val="11"/>
        <w:keepNext w:val="0"/>
        <w:keepLines w:val="0"/>
        <w:widowControl/>
        <w:numPr>
          <w:numId w:val="0"/>
        </w:numPr>
        <w:suppressLineNumbers w:val="0"/>
        <w:spacing w:before="0" w:beforeAutospacing="1" w:after="0" w:afterAutospacing="1"/>
        <w:ind w:right="0" w:rightChars="0"/>
        <w:jc w:val="left"/>
        <w:rPr>
          <w:rFonts w:hint="default"/>
          <w:b/>
          <w:bCs/>
          <w:color w:val="auto"/>
          <w:lang w:val="en-US" w:eastAsia="zh-CN"/>
        </w:rPr>
      </w:pPr>
    </w:p>
    <w:p>
      <w:pPr>
        <w:pStyle w:val="11"/>
        <w:keepNext w:val="0"/>
        <w:keepLines w:val="0"/>
        <w:widowControl/>
        <w:numPr>
          <w:numId w:val="0"/>
        </w:numPr>
        <w:suppressLineNumbers w:val="0"/>
        <w:spacing w:before="0" w:beforeAutospacing="1" w:after="0" w:afterAutospacing="1"/>
        <w:ind w:right="0" w:rightChars="0"/>
        <w:jc w:val="left"/>
        <w:rPr>
          <w:rFonts w:hint="default"/>
          <w:b/>
          <w:bCs/>
          <w:color w:val="auto"/>
          <w:lang w:val="en-US" w:eastAsia="zh-CN"/>
        </w:rPr>
      </w:pPr>
    </w:p>
    <w:p>
      <w:pPr>
        <w:pStyle w:val="11"/>
        <w:keepNext w:val="0"/>
        <w:keepLines w:val="0"/>
        <w:widowControl/>
        <w:numPr>
          <w:numId w:val="0"/>
        </w:numPr>
        <w:suppressLineNumbers w:val="0"/>
        <w:spacing w:before="0" w:beforeAutospacing="1" w:after="0" w:afterAutospacing="1"/>
        <w:ind w:right="0" w:rightChars="0"/>
        <w:jc w:val="left"/>
        <w:rPr>
          <w:rFonts w:hint="default"/>
          <w:b/>
          <w:bCs/>
          <w:color w:val="auto"/>
          <w:lang w:val="en-US" w:eastAsia="zh-CN"/>
        </w:rPr>
      </w:pPr>
    </w:p>
    <w:p>
      <w:pPr>
        <w:pStyle w:val="11"/>
        <w:keepNext w:val="0"/>
        <w:keepLines w:val="0"/>
        <w:widowControl/>
        <w:numPr>
          <w:ilvl w:val="0"/>
          <w:numId w:val="6"/>
        </w:numPr>
        <w:suppressLineNumbers w:val="0"/>
        <w:spacing w:before="0" w:beforeAutospacing="1" w:after="0" w:afterAutospacing="1"/>
        <w:ind w:right="0" w:rightChars="0"/>
        <w:jc w:val="left"/>
        <w:rPr>
          <w:rFonts w:hint="default"/>
          <w:b/>
          <w:bCs/>
          <w:color w:val="auto"/>
          <w:lang w:val="en-US" w:eastAsia="zh-CN"/>
        </w:rPr>
      </w:pPr>
      <w:r>
        <w:rPr>
          <w:rFonts w:hint="default"/>
          <w:b/>
          <w:bCs/>
          <w:color w:val="auto"/>
          <w:lang w:val="en-US" w:eastAsia="zh-CN"/>
        </w:rPr>
        <w:t>Ability to disseminate those practices</w:t>
      </w:r>
    </w:p>
    <w:p>
      <w:pPr>
        <w:pStyle w:val="11"/>
        <w:keepNext w:val="0"/>
        <w:keepLines w:val="0"/>
        <w:widowControl/>
        <w:numPr>
          <w:numId w:val="0"/>
        </w:numPr>
        <w:suppressLineNumbers w:val="0"/>
        <w:spacing w:before="0" w:beforeAutospacing="1" w:after="0" w:afterAutospacing="1"/>
        <w:ind w:right="0" w:rightChars="0"/>
        <w:jc w:val="left"/>
        <w:rPr>
          <w:rFonts w:hint="default"/>
          <w:b/>
          <w:bCs/>
          <w:color w:val="auto"/>
          <w:lang w:val="en-US" w:eastAsia="zh-CN"/>
        </w:rPr>
      </w:pPr>
    </w:p>
    <w:p>
      <w:pPr>
        <w:pStyle w:val="11"/>
        <w:keepNext w:val="0"/>
        <w:keepLines w:val="0"/>
        <w:widowControl/>
        <w:numPr>
          <w:numId w:val="0"/>
        </w:numPr>
        <w:suppressLineNumbers w:val="0"/>
        <w:spacing w:before="0" w:beforeAutospacing="1" w:after="0" w:afterAutospacing="1"/>
        <w:ind w:right="0" w:rightChars="0"/>
        <w:jc w:val="left"/>
        <w:rPr>
          <w:rFonts w:hint="default"/>
          <w:b/>
          <w:bCs/>
          <w:color w:val="auto"/>
          <w:lang w:val="en-US" w:eastAsia="zh-CN"/>
        </w:rPr>
      </w:pPr>
    </w:p>
    <w:p>
      <w:pPr>
        <w:pStyle w:val="11"/>
        <w:keepNext w:val="0"/>
        <w:keepLines w:val="0"/>
        <w:widowControl/>
        <w:suppressLineNumbers w:val="0"/>
        <w:rPr>
          <w:color w:val="FF0000"/>
        </w:rPr>
      </w:pPr>
    </w:p>
    <w:p>
      <w:pPr>
        <w:pStyle w:val="11"/>
        <w:keepNext w:val="0"/>
        <w:keepLines w:val="0"/>
        <w:widowControl/>
        <w:suppressLineNumbers w:val="0"/>
        <w:rPr>
          <w:color w:val="FF0000"/>
        </w:rPr>
      </w:pPr>
    </w:p>
    <w:p>
      <w:pPr>
        <w:pStyle w:val="11"/>
        <w:keepNext w:val="0"/>
        <w:keepLines w:val="0"/>
        <w:widowControl/>
        <w:suppressLineNumbers w:val="0"/>
        <w:rPr>
          <w:color w:val="FF0000"/>
        </w:rPr>
      </w:pPr>
    </w:p>
    <w:p>
      <w:pPr>
        <w:pStyle w:val="11"/>
        <w:keepNext w:val="0"/>
        <w:keepLines w:val="0"/>
        <w:widowControl/>
        <w:suppressLineNumbers w:val="0"/>
        <w:rPr>
          <w:color w:val="FF0000"/>
        </w:rPr>
      </w:pPr>
    </w:p>
    <w:p>
      <w:pPr>
        <w:pStyle w:val="11"/>
        <w:keepNext w:val="0"/>
        <w:keepLines w:val="0"/>
        <w:widowControl/>
        <w:suppressLineNumbers w:val="0"/>
        <w:rPr>
          <w:color w:val="FF0000"/>
        </w:rPr>
      </w:pPr>
    </w:p>
    <w:p>
      <w:pPr>
        <w:pStyle w:val="11"/>
        <w:keepNext w:val="0"/>
        <w:keepLines w:val="0"/>
        <w:widowControl/>
        <w:suppressLineNumbers w:val="0"/>
        <w:rPr>
          <w:color w:val="FF0000"/>
        </w:rPr>
      </w:pPr>
    </w:p>
    <w:p>
      <w:pPr>
        <w:pStyle w:val="11"/>
        <w:keepNext w:val="0"/>
        <w:keepLines w:val="0"/>
        <w:widowControl/>
        <w:suppressLineNumbers w:val="0"/>
        <w:rPr>
          <w:color w:val="FF0000"/>
        </w:rPr>
      </w:pPr>
    </w:p>
    <w:p>
      <w:pPr>
        <w:pStyle w:val="11"/>
        <w:keepNext w:val="0"/>
        <w:keepLines w:val="0"/>
        <w:widowControl/>
        <w:suppressLineNumbers w:val="0"/>
        <w:rPr>
          <w:color w:val="FF0000"/>
        </w:rPr>
      </w:pPr>
    </w:p>
    <w:p>
      <w:pPr>
        <w:pStyle w:val="11"/>
        <w:keepNext w:val="0"/>
        <w:keepLines w:val="0"/>
        <w:widowControl/>
        <w:suppressLineNumbers w:val="0"/>
        <w:rPr>
          <w:color w:val="FF0000"/>
        </w:rPr>
      </w:pPr>
    </w:p>
    <w:p>
      <w:pPr>
        <w:pStyle w:val="11"/>
        <w:keepNext w:val="0"/>
        <w:keepLines w:val="0"/>
        <w:widowControl/>
        <w:suppressLineNumbers w:val="0"/>
        <w:rPr>
          <w:color w:val="FF0000"/>
        </w:rPr>
      </w:pPr>
    </w:p>
    <w:p>
      <w:pPr>
        <w:pStyle w:val="11"/>
        <w:keepNext w:val="0"/>
        <w:keepLines w:val="0"/>
        <w:widowControl/>
        <w:suppressLineNumbers w:val="0"/>
        <w:rPr>
          <w:color w:val="FF0000"/>
        </w:rPr>
      </w:pPr>
    </w:p>
    <w:p>
      <w:pPr>
        <w:pStyle w:val="11"/>
        <w:keepNext w:val="0"/>
        <w:keepLines w:val="0"/>
        <w:widowControl/>
        <w:suppressLineNumbers w:val="0"/>
        <w:rPr>
          <w:color w:val="FF0000"/>
        </w:rPr>
      </w:pPr>
    </w:p>
    <w:p>
      <w:pPr>
        <w:pStyle w:val="11"/>
        <w:keepNext w:val="0"/>
        <w:keepLines w:val="0"/>
        <w:widowControl/>
        <w:suppressLineNumbers w:val="0"/>
        <w:rPr>
          <w:color w:val="FF0000"/>
        </w:rPr>
      </w:pPr>
    </w:p>
    <w:p>
      <w:pPr>
        <w:pStyle w:val="11"/>
        <w:keepNext w:val="0"/>
        <w:keepLines w:val="0"/>
        <w:widowControl/>
        <w:suppressLineNumbers w:val="0"/>
        <w:rPr>
          <w:color w:val="FF0000"/>
        </w:rPr>
      </w:pPr>
    </w:p>
    <w:p>
      <w:pPr>
        <w:pStyle w:val="11"/>
        <w:keepNext w:val="0"/>
        <w:keepLines w:val="0"/>
        <w:widowControl/>
        <w:suppressLineNumbers w:val="0"/>
        <w:rPr>
          <w:color w:val="FF0000"/>
        </w:rPr>
      </w:pPr>
    </w:p>
    <w:p>
      <w:pPr>
        <w:pStyle w:val="11"/>
        <w:keepNext w:val="0"/>
        <w:keepLines w:val="0"/>
        <w:widowControl/>
        <w:suppressLineNumbers w:val="0"/>
        <w:rPr>
          <w:color w:val="FF0000"/>
        </w:rPr>
      </w:pPr>
    </w:p>
    <w:p>
      <w:pPr>
        <w:pStyle w:val="11"/>
        <w:keepNext w:val="0"/>
        <w:keepLines w:val="0"/>
        <w:widowControl/>
        <w:suppressLineNumbers w:val="0"/>
        <w:rPr>
          <w:color w:val="FF0000"/>
        </w:rPr>
      </w:pPr>
    </w:p>
    <w:p>
      <w:pPr>
        <w:pStyle w:val="11"/>
        <w:keepNext w:val="0"/>
        <w:keepLines w:val="0"/>
        <w:widowControl/>
        <w:suppressLineNumbers w:val="0"/>
        <w:rPr>
          <w:color w:val="FF0000"/>
        </w:rPr>
      </w:pPr>
    </w:p>
    <w:p>
      <w:pPr>
        <w:pStyle w:val="11"/>
        <w:keepNext w:val="0"/>
        <w:keepLines w:val="0"/>
        <w:widowControl/>
        <w:suppressLineNumbers w:val="0"/>
        <w:rPr>
          <w:color w:val="FF0000"/>
        </w:rPr>
      </w:pPr>
    </w:p>
    <w:p>
      <w:pPr>
        <w:pStyle w:val="11"/>
        <w:keepNext w:val="0"/>
        <w:keepLines w:val="0"/>
        <w:widowControl/>
        <w:suppressLineNumbers w:val="0"/>
        <w:rPr>
          <w:color w:val="FF0000"/>
        </w:rPr>
      </w:pPr>
    </w:p>
    <w:p>
      <w:pPr>
        <w:pStyle w:val="11"/>
        <w:keepNext w:val="0"/>
        <w:keepLines w:val="0"/>
        <w:widowControl/>
        <w:suppressLineNumbers w:val="0"/>
        <w:rPr>
          <w:color w:val="FF0000"/>
        </w:rPr>
      </w:pPr>
    </w:p>
    <w:p>
      <w:pPr>
        <w:pStyle w:val="11"/>
        <w:keepNext w:val="0"/>
        <w:keepLines w:val="0"/>
        <w:widowControl/>
        <w:suppressLineNumbers w:val="0"/>
        <w:rPr>
          <w:rFonts w:hint="eastAsia"/>
          <w:color w:val="FF0000"/>
          <w:lang w:val="en-US" w:eastAsia="zh-CN"/>
        </w:rPr>
      </w:pPr>
      <w:bookmarkStart w:id="3" w:name="_heading=h.35nkun2" w:colFirst="0" w:colLast="0"/>
      <w:bookmarkEnd w:id="3"/>
    </w:p>
    <w:p>
      <w:pPr>
        <w:pStyle w:val="11"/>
        <w:keepNext w:val="0"/>
        <w:keepLines w:val="0"/>
        <w:widowControl/>
        <w:suppressLineNumbers w:val="0"/>
        <w:rPr>
          <w:rFonts w:hint="eastAsia"/>
          <w:color w:val="FF0000"/>
          <w:lang w:val="en-US" w:eastAsia="zh-CN"/>
        </w:rPr>
      </w:pPr>
    </w:p>
    <w:p>
      <w:pPr>
        <w:pStyle w:val="11"/>
        <w:keepNext w:val="0"/>
        <w:keepLines w:val="0"/>
        <w:widowControl/>
        <w:suppressLineNumbers w:val="0"/>
        <w:rPr>
          <w:rFonts w:hint="eastAsia"/>
          <w:color w:val="FF0000"/>
          <w:lang w:val="en-US" w:eastAsia="zh-CN"/>
        </w:rPr>
      </w:pPr>
    </w:p>
    <w:p>
      <w:pPr>
        <w:pStyle w:val="11"/>
        <w:keepNext w:val="0"/>
        <w:keepLines w:val="0"/>
        <w:widowControl/>
        <w:suppressLineNumbers w:val="0"/>
        <w:rPr>
          <w:rFonts w:hint="eastAsia"/>
          <w:color w:val="FF0000"/>
          <w:lang w:val="en-US" w:eastAsia="zh-CN"/>
        </w:rPr>
      </w:pPr>
    </w:p>
    <w:p>
      <w:pPr>
        <w:pStyle w:val="11"/>
        <w:keepNext w:val="0"/>
        <w:keepLines w:val="0"/>
        <w:widowControl/>
        <w:numPr>
          <w:ilvl w:val="0"/>
          <w:numId w:val="7"/>
        </w:numPr>
        <w:suppressLineNumbers w:val="0"/>
        <w:ind w:left="0" w:leftChars="0" w:firstLine="0" w:firstLineChars="0"/>
        <w:rPr>
          <w:rFonts w:hint="default"/>
          <w:color w:val="FF0000"/>
          <w:lang w:val="en-US" w:eastAsia="zh-CN"/>
        </w:rPr>
      </w:pPr>
      <w:r>
        <w:rPr>
          <w:rFonts w:hint="default"/>
          <w:color w:val="FF0000"/>
          <w:lang w:val="en-US" w:eastAsia="zh-CN"/>
        </w:rPr>
        <w:t>Gained extensive experience through handling a high volume of complex cases</w:t>
      </w:r>
    </w:p>
    <w:p>
      <w:pPr>
        <w:pStyle w:val="11"/>
        <w:keepNext w:val="0"/>
        <w:keepLines w:val="0"/>
        <w:widowControl/>
        <w:numPr>
          <w:ilvl w:val="0"/>
          <w:numId w:val="0"/>
        </w:numPr>
        <w:suppressLineNumbers w:val="0"/>
        <w:ind w:leftChars="0" w:right="0" w:rightChars="0"/>
        <w:rPr>
          <w:rFonts w:hint="default"/>
          <w:color w:val="FF0000"/>
          <w:lang w:val="en-US" w:eastAsia="zh-CN"/>
        </w:rPr>
      </w:pPr>
      <w:r>
        <w:rPr>
          <w:rFonts w:hint="default"/>
          <w:color w:val="FF0000"/>
          <w:lang w:val="en-US" w:eastAsia="zh-CN"/>
        </w:rPr>
        <w:t>Ms. Liu is well positioned to advance her proposed endeavor based on her extensive and deeply developed practical experience in criminal defense, as demonstrated through her handling of a high volume of cases and her ability to achieve meaningful results across a range of legal contexts.</w:t>
      </w:r>
    </w:p>
    <w:p>
      <w:pPr>
        <w:pStyle w:val="11"/>
        <w:keepNext w:val="0"/>
        <w:keepLines w:val="0"/>
        <w:widowControl/>
        <w:numPr>
          <w:ilvl w:val="0"/>
          <w:numId w:val="0"/>
        </w:numPr>
        <w:suppressLineNumbers w:val="0"/>
        <w:ind w:leftChars="0" w:right="0" w:rightChars="0"/>
        <w:rPr>
          <w:rFonts w:hint="eastAsia"/>
          <w:color w:val="FF0000"/>
          <w:lang w:val="en-US" w:eastAsia="zh-CN"/>
        </w:rPr>
      </w:pPr>
      <w:r>
        <w:rPr>
          <w:rFonts w:hint="default"/>
          <w:color w:val="FF0000"/>
          <w:lang w:val="en-US" w:eastAsia="zh-CN"/>
        </w:rPr>
        <w:t>In one representative case, Ms. Liu represented a client charged with domestic violence assault, a charge carrying significant legal and collateral consequences, including long-term probationary supervision, mandatory treatment requirements, and the lasting stigma associated with a domestic violence designation. The prosecution initially offered a highly unfavorable plea agreement that would have imposed substantial long-term burdens on the client. Upon a comprehensive review of the discovery materials, Ms. Liu identified weaknesses in the evidentiary record, including issues related to the completeness of the evidence and the credibility of witness statements. Based on this analysis, she made the strategic decision to pursue a full defense rather than accept the proposed resolution. Through targeted legal advocacy, she successfully challenged the sufficiency of the prosecution’s case, ultimately leading to a dismissal of all charges. This case illustrates her ability to exercise sound professional judgment, conduct detailed evidentiary analysis, and secure outcomes that significantly alter the trajectory of a client’s life.</w:t>
      </w:r>
      <w:r>
        <w:rPr>
          <w:rFonts w:hint="eastAsia"/>
          <w:color w:val="FF0000"/>
          <w:lang w:val="en-US" w:eastAsia="zh-CN"/>
        </w:rPr>
        <w:t xml:space="preserve"> </w:t>
      </w:r>
      <w:r>
        <w:rPr>
          <w:rFonts w:hint="default"/>
          <w:color w:val="FF0000"/>
          <w:lang w:val="en-US" w:eastAsia="zh-CN"/>
        </w:rPr>
        <w:t>(</w:t>
      </w:r>
      <w:r>
        <w:rPr>
          <w:rFonts w:hint="eastAsia"/>
          <w:b/>
          <w:bCs/>
          <w:color w:val="FF0000"/>
          <w:lang w:val="en-US" w:eastAsia="zh-CN"/>
        </w:rPr>
        <w:t xml:space="preserve">Exhibit 12 </w:t>
      </w:r>
      <w:r>
        <w:rPr>
          <w:rFonts w:hint="eastAsia"/>
          <w:color w:val="FF0000"/>
          <w:lang w:val="en-US" w:eastAsia="zh-CN"/>
        </w:rPr>
        <w:t xml:space="preserve">– Case Summary: Domestic Violence Assault Dismissal </w:t>
      </w:r>
      <w:r>
        <w:rPr>
          <w:rFonts w:hint="default"/>
          <w:color w:val="FF0000"/>
          <w:lang w:val="en-US" w:eastAsia="zh-CN"/>
        </w:rPr>
        <w:t>)</w:t>
      </w:r>
    </w:p>
    <w:p>
      <w:pPr>
        <w:numPr>
          <w:ilvl w:val="0"/>
          <w:numId w:val="0"/>
        </w:numPr>
        <w:ind w:leftChars="0"/>
        <w:rPr>
          <w:rFonts w:hint="default" w:ascii="Times New Roman Regular" w:hAnsi="Times New Roman Regular"/>
          <w:b/>
          <w:bCs/>
          <w:color w:val="FF0000"/>
          <w:sz w:val="24"/>
          <w:szCs w:val="24"/>
          <w:lang w:val="en-US"/>
        </w:rPr>
      </w:pPr>
    </w:p>
    <w:p>
      <w:pPr>
        <w:numPr>
          <w:ilvl w:val="0"/>
          <w:numId w:val="0"/>
        </w:numPr>
        <w:ind w:leftChars="0"/>
        <w:rPr>
          <w:rFonts w:hint="default" w:ascii="Times New Roman Regular" w:hAnsi="Times New Roman Regular"/>
          <w:b/>
          <w:bCs/>
          <w:color w:val="FF0000"/>
          <w:sz w:val="24"/>
          <w:szCs w:val="24"/>
          <w:lang w:val="en-US"/>
        </w:rPr>
      </w:pPr>
    </w:p>
    <w:p>
      <w:pPr>
        <w:numPr>
          <w:ilvl w:val="0"/>
          <w:numId w:val="0"/>
        </w:numPr>
        <w:ind w:leftChars="0"/>
        <w:rPr>
          <w:rFonts w:hint="default" w:ascii="Times New Roman Regular" w:hAnsi="Times New Roman Regular"/>
          <w:b/>
          <w:bCs/>
          <w:color w:val="FF0000"/>
          <w:sz w:val="24"/>
          <w:szCs w:val="24"/>
          <w:lang w:val="en-US"/>
        </w:rPr>
      </w:pPr>
    </w:p>
    <w:p>
      <w:pPr>
        <w:numPr>
          <w:ilvl w:val="0"/>
          <w:numId w:val="0"/>
        </w:numPr>
        <w:ind w:leftChars="0"/>
        <w:rPr>
          <w:rFonts w:hint="default" w:ascii="Times New Roman Regular" w:hAnsi="Times New Roman Regular"/>
          <w:b/>
          <w:bCs/>
          <w:color w:val="FF0000"/>
          <w:sz w:val="24"/>
          <w:szCs w:val="24"/>
          <w:lang w:val="en-US"/>
        </w:rPr>
      </w:pPr>
    </w:p>
    <w:p>
      <w:pPr>
        <w:numPr>
          <w:ilvl w:val="0"/>
          <w:numId w:val="0"/>
        </w:numPr>
        <w:ind w:leftChars="0"/>
        <w:rPr>
          <w:rFonts w:hint="default" w:ascii="Times New Roman Regular" w:hAnsi="Times New Roman Regular"/>
          <w:b/>
          <w:bCs/>
          <w:color w:val="FF0000"/>
          <w:sz w:val="24"/>
          <w:szCs w:val="24"/>
          <w:lang w:val="en-US"/>
        </w:rPr>
      </w:pPr>
      <w:r>
        <w:rPr>
          <w:rFonts w:hint="default" w:ascii="Times New Roman Regular" w:hAnsi="Times New Roman Regular"/>
          <w:b/>
          <w:bCs/>
          <w:color w:val="FF0000"/>
          <w:sz w:val="24"/>
          <w:szCs w:val="24"/>
          <w:lang w:val="en-US"/>
        </w:rPr>
        <w:t>Because the right to counsel applies uniformly across the United States, variations in the capacity of public defense systems raise broader concerns regarding the consistent administration of justice at the national level. Addressing these structural deficiencies therefore carries implications beyond any single case or locality.</w:t>
      </w:r>
    </w:p>
    <w:p>
      <w:pPr>
        <w:numPr>
          <w:ilvl w:val="0"/>
          <w:numId w:val="0"/>
        </w:numPr>
        <w:ind w:leftChars="0"/>
        <w:rPr>
          <w:rFonts w:hint="default" w:ascii="Times New Roman Regular" w:hAnsi="Times New Roman Regular"/>
          <w:b/>
          <w:bCs/>
          <w:color w:val="FF0000"/>
          <w:sz w:val="24"/>
          <w:szCs w:val="24"/>
          <w:lang w:val="en-US"/>
        </w:rPr>
      </w:pPr>
    </w:p>
    <w:p>
      <w:pPr>
        <w:numPr>
          <w:ilvl w:val="0"/>
          <w:numId w:val="0"/>
        </w:numPr>
        <w:ind w:leftChars="0"/>
        <w:rPr>
          <w:rFonts w:hint="default" w:ascii="Times New Roman Regular" w:hAnsi="Times New Roman Regular"/>
          <w:b/>
          <w:bCs/>
          <w:color w:val="FF0000"/>
          <w:sz w:val="24"/>
          <w:szCs w:val="24"/>
          <w:lang w:val="en-US"/>
        </w:rPr>
      </w:pPr>
      <w:r>
        <w:rPr>
          <w:rFonts w:hint="default" w:ascii="Times New Roman Regular" w:hAnsi="Times New Roman Regular"/>
          <w:b/>
          <w:bCs/>
          <w:color w:val="FF0000"/>
          <w:sz w:val="24"/>
          <w:szCs w:val="24"/>
          <w:lang w:val="en-US"/>
        </w:rPr>
        <w:t>Accordingly, Ms. Liu’s proposed endeavor is directed at a nationally recognized issue that affects the operation, consistency, and integrity of the U.S. criminal justice system, thereby establishing its national importance.</w:t>
      </w:r>
    </w:p>
    <w:p>
      <w:pPr>
        <w:numPr>
          <w:ilvl w:val="0"/>
          <w:numId w:val="0"/>
        </w:numPr>
        <w:ind w:leftChars="0"/>
        <w:rPr>
          <w:rFonts w:hint="default" w:ascii="Times New Roman Regular" w:hAnsi="Times New Roman Regular" w:cs="Times New Roman Regular"/>
          <w:b/>
          <w:bCs/>
          <w:color w:val="FF0000"/>
          <w:sz w:val="24"/>
          <w:szCs w:val="24"/>
          <w:lang w:val="en-US"/>
        </w:rPr>
      </w:pPr>
    </w:p>
    <w:p>
      <w:pPr>
        <w:numPr>
          <w:ilvl w:val="0"/>
          <w:numId w:val="0"/>
        </w:numPr>
        <w:ind w:leftChars="0"/>
        <w:rPr>
          <w:rFonts w:hint="default" w:ascii="Times New Roman Regular" w:hAnsi="Times New Roman Regular" w:cs="Times New Roman Regular"/>
          <w:b/>
          <w:bCs/>
          <w:sz w:val="24"/>
          <w:szCs w:val="24"/>
          <w:lang w:val="en-US"/>
        </w:rPr>
      </w:pPr>
    </w:p>
    <w:p>
      <w:pPr>
        <w:numPr>
          <w:ilvl w:val="0"/>
          <w:numId w:val="0"/>
        </w:numPr>
        <w:ind w:leftChars="0"/>
        <w:rPr>
          <w:rFonts w:hint="default" w:ascii="Times New Roman Regular" w:hAnsi="Times New Roman Regular" w:cs="Times New Roman Regular"/>
          <w:b/>
          <w:bCs/>
          <w:sz w:val="24"/>
          <w:szCs w:val="24"/>
          <w:lang w:val="en-US"/>
        </w:rPr>
      </w:pPr>
    </w:p>
    <w:p>
      <w:pPr>
        <w:numPr>
          <w:ilvl w:val="0"/>
          <w:numId w:val="0"/>
        </w:numPr>
        <w:ind w:leftChars="0"/>
        <w:rPr>
          <w:rFonts w:hint="default" w:ascii="Times New Roman Regular" w:hAnsi="Times New Roman Regular" w:cs="Times New Roman Regular"/>
          <w:b/>
          <w:bCs/>
          <w:sz w:val="24"/>
          <w:szCs w:val="24"/>
          <w:lang w:val="en-US"/>
        </w:rPr>
      </w:pPr>
    </w:p>
    <w:p>
      <w:pPr>
        <w:numPr>
          <w:ilvl w:val="0"/>
          <w:numId w:val="0"/>
        </w:numPr>
        <w:ind w:leftChars="0"/>
        <w:rPr>
          <w:rFonts w:hint="default" w:ascii="Times New Roman Regular" w:hAnsi="Times New Roman Regular" w:cs="Times New Roman Regular"/>
          <w:b/>
          <w:bCs/>
          <w:sz w:val="24"/>
          <w:szCs w:val="24"/>
          <w:lang w:val="en-US"/>
        </w:rPr>
      </w:pPr>
    </w:p>
    <w:p>
      <w:pPr>
        <w:numPr>
          <w:ilvl w:val="0"/>
          <w:numId w:val="0"/>
        </w:numPr>
        <w:ind w:leftChars="0"/>
        <w:rPr>
          <w:rFonts w:hint="default" w:ascii="Times New Roman Regular" w:hAnsi="Times New Roman Regular" w:cs="Times New Roman Regular"/>
          <w:b/>
          <w:bCs/>
          <w:sz w:val="24"/>
          <w:szCs w:val="24"/>
          <w:lang w:val="en-US"/>
        </w:rPr>
      </w:pPr>
    </w:p>
    <w:p>
      <w:pPr>
        <w:numPr>
          <w:ilvl w:val="0"/>
          <w:numId w:val="0"/>
        </w:numPr>
        <w:ind w:leftChars="0"/>
        <w:rPr>
          <w:rFonts w:hint="default" w:ascii="Times New Roman Regular" w:hAnsi="Times New Roman Regular" w:cs="Times New Roman Regular"/>
          <w:b/>
          <w:bCs/>
          <w:sz w:val="24"/>
          <w:szCs w:val="24"/>
          <w:lang w:val="en-US"/>
        </w:rPr>
      </w:pPr>
    </w:p>
    <w:p>
      <w:pPr>
        <w:numPr>
          <w:ilvl w:val="0"/>
          <w:numId w:val="0"/>
        </w:numPr>
        <w:ind w:leftChars="0"/>
        <w:rPr>
          <w:rFonts w:hint="default" w:ascii="Times New Roman Regular" w:hAnsi="Times New Roman Regular" w:cs="Times New Roman Regular"/>
          <w:b/>
          <w:bCs/>
          <w:sz w:val="24"/>
          <w:szCs w:val="24"/>
          <w:lang w:val="en-US"/>
        </w:rPr>
      </w:pPr>
    </w:p>
    <w:p>
      <w:pPr>
        <w:numPr>
          <w:ilvl w:val="0"/>
          <w:numId w:val="0"/>
        </w:numPr>
        <w:ind w:leftChars="0"/>
        <w:rPr>
          <w:rFonts w:hint="default" w:ascii="Times New Roman Regular" w:hAnsi="Times New Roman Regular" w:cs="Times New Roman Regular"/>
          <w:b/>
          <w:bCs/>
          <w:sz w:val="24"/>
          <w:szCs w:val="24"/>
          <w:lang w:val="en-US"/>
        </w:rPr>
      </w:pPr>
    </w:p>
    <w:p>
      <w:pPr>
        <w:numPr>
          <w:ilvl w:val="0"/>
          <w:numId w:val="0"/>
        </w:numPr>
        <w:ind w:leftChars="0"/>
        <w:rPr>
          <w:rFonts w:hint="default" w:ascii="Times New Roman Regular" w:hAnsi="Times New Roman Regular" w:cs="Times New Roman Regular"/>
          <w:b/>
          <w:bCs/>
          <w:sz w:val="24"/>
          <w:szCs w:val="24"/>
          <w:lang w:val="en-US"/>
        </w:rPr>
      </w:pPr>
    </w:p>
    <w:p>
      <w:pPr>
        <w:numPr>
          <w:ilvl w:val="0"/>
          <w:numId w:val="0"/>
        </w:numPr>
        <w:ind w:leftChars="0"/>
        <w:rPr>
          <w:rFonts w:hint="default" w:ascii="Times New Roman Regular" w:hAnsi="Times New Roman Regular" w:cs="Times New Roman Regular"/>
          <w:b/>
          <w:bCs/>
          <w:sz w:val="24"/>
          <w:szCs w:val="24"/>
          <w:lang w:val="en-US"/>
        </w:rPr>
      </w:pPr>
    </w:p>
    <w:p>
      <w:pPr>
        <w:numPr>
          <w:ilvl w:val="0"/>
          <w:numId w:val="0"/>
        </w:numPr>
        <w:rPr>
          <w:rFonts w:hint="default" w:ascii="Times New Roman Regular" w:hAnsi="Times New Roman Regular" w:cs="Times New Roman Regular"/>
          <w:b/>
          <w:bCs/>
          <w:sz w:val="24"/>
          <w:szCs w:val="24"/>
        </w:rPr>
      </w:pPr>
    </w:p>
    <w:p>
      <w:pPr>
        <w:numPr>
          <w:ilvl w:val="0"/>
          <w:numId w:val="8"/>
        </w:numPr>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 xml:space="preserve">Dr. Wang’s proposed endeavor has </w:t>
      </w:r>
      <w:r>
        <w:rPr>
          <w:rFonts w:hint="default" w:ascii="Times New Roman Regular" w:hAnsi="Times New Roman Regular" w:cs="Times New Roman Regular"/>
          <w:b/>
          <w:bCs/>
          <w:sz w:val="24"/>
          <w:szCs w:val="24"/>
          <w:lang w:val="en-US"/>
        </w:rPr>
        <w:t>national importance</w:t>
      </w:r>
    </w:p>
    <w:p>
      <w:pPr>
        <w:numPr>
          <w:ilvl w:val="0"/>
          <w:numId w:val="0"/>
        </w:numPr>
        <w:rPr>
          <w:rFonts w:hint="default" w:ascii="Times New Roman Regular" w:hAnsi="Times New Roman Regular" w:cs="Times New Roman Regular"/>
          <w:b/>
          <w:bCs/>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 Constitutional Foundations and Legal Significance</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Sixth Amendment guarantees the right to effective assistance of counsel in criminal proceedings. This right is foundational to the legitimacy of the United States justice system.</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Public defenders play a critical role in ensuring that this constitutional guarantee is not merely theoretical but meaningfully implemented. Without adequate representation, defendants—particularly indigent individuals—face a substantial risk of unjust outcomes.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 National Crisis in Indigent Defense</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United States faces a well-documented and persistent crisis in indigent defense. Public defender offices across the country operate under significant resource constraints and are burdened with excessive caseloads.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American Bar Association and other legal authorities have repeatedly highlighted that such conditions threaten the quality of representation and undermine constitutional protections.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systemic issue is national in scope and affects the integrity of the judicial system as a whole.</w:t>
      </w:r>
    </w:p>
    <w:p>
      <w:pPr>
        <w:rPr>
          <w:rFonts w:hint="default" w:ascii="Times New Roman Regular" w:hAnsi="Times New Roman Regular" w:cs="Times New Roman Regular"/>
          <w:sz w:val="24"/>
          <w:szCs w:val="24"/>
        </w:rPr>
      </w:pPr>
    </w:p>
    <w:p>
      <w:pPr>
        <w:numPr>
          <w:ilvl w:val="0"/>
          <w:numId w:val="9"/>
        </w:num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Importance of Misdemeanor and Gross Misdemeanor Defense</w:t>
      </w:r>
    </w:p>
    <w:p>
      <w:pPr>
        <w:numPr>
          <w:ilvl w:val="0"/>
          <w:numId w:val="0"/>
        </w:numPr>
        <w:rPr>
          <w:rFonts w:hint="default" w:ascii="Times New Roman Regular" w:hAnsi="Times New Roman Regular" w:cs="Times New Roman Regular"/>
          <w:sz w:val="24"/>
          <w:szCs w:val="24"/>
        </w:rPr>
      </w:pPr>
    </w:p>
    <w:p>
      <w:pPr>
        <w:rPr>
          <w:rFonts w:hint="default" w:ascii="Times New Roman Regular" w:hAnsi="Times New Roman Regular"/>
          <w:sz w:val="24"/>
          <w:szCs w:val="24"/>
        </w:rPr>
      </w:pPr>
      <w:r>
        <w:rPr>
          <w:rFonts w:hint="default" w:ascii="Times New Roman Regular" w:hAnsi="Times New Roman Regular"/>
          <w:sz w:val="24"/>
          <w:szCs w:val="24"/>
        </w:rPr>
        <w:t>The record establishes that Ms. Liu’s proposed endeavor is neither speculative nor limited to routine professional duties, but instead reflects an ongoing effort to address systemic deficiencies in indigent criminal defense.</w:t>
      </w:r>
    </w:p>
    <w:p>
      <w:pPr>
        <w:rPr>
          <w:rFonts w:hint="default" w:ascii="Times New Roman Regular" w:hAnsi="Times New Roman Regular"/>
          <w:sz w:val="24"/>
          <w:szCs w:val="24"/>
        </w:rPr>
      </w:pPr>
    </w:p>
    <w:p>
      <w:pPr>
        <w:rPr>
          <w:rFonts w:hint="default" w:ascii="Times New Roman Regular" w:hAnsi="Times New Roman Regular"/>
          <w:sz w:val="24"/>
          <w:szCs w:val="24"/>
        </w:rPr>
      </w:pPr>
      <w:r>
        <w:rPr>
          <w:rFonts w:hint="default" w:ascii="Times New Roman Regular" w:hAnsi="Times New Roman Regular"/>
          <w:sz w:val="24"/>
          <w:szCs w:val="24"/>
        </w:rPr>
        <w:t>Specifically, Ms. Liu currently handles a caseload exceeding 300 criminal cases per year, including regular representation of incarcerated individuals and continuous court appearances. This extensive level of engagement demonstrates her ability to function within high-demand, resource-constrained environments where effective legal advocacy is critically needed.</w:t>
      </w:r>
    </w:p>
    <w:p>
      <w:pPr>
        <w:rPr>
          <w:rFonts w:hint="default" w:ascii="Times New Roman Regular" w:hAnsi="Times New Roman Regular"/>
          <w:sz w:val="24"/>
          <w:szCs w:val="24"/>
        </w:rPr>
      </w:pPr>
    </w:p>
    <w:p>
      <w:pPr>
        <w:rPr>
          <w:rFonts w:hint="default" w:ascii="Times New Roman Regular" w:hAnsi="Times New Roman Regular"/>
          <w:sz w:val="24"/>
          <w:szCs w:val="24"/>
        </w:rPr>
      </w:pPr>
      <w:r>
        <w:rPr>
          <w:rFonts w:hint="default" w:ascii="Times New Roman Regular" w:hAnsi="Times New Roman Regular"/>
          <w:sz w:val="24"/>
          <w:szCs w:val="24"/>
        </w:rPr>
        <w:t>This evidence further confirms that her proposed endeavor represents a continuation of work already being performed at scale, rather than a prospective or hypothetical undertaking. Her demonstrated ability to secure dismissals and favorable case outcomes illustrates her capacity to reduce unjust or disproportionate legal consequences for indigent defendants.</w:t>
      </w:r>
    </w:p>
    <w:p>
      <w:pPr>
        <w:rPr>
          <w:rFonts w:hint="default" w:ascii="Times New Roman Regular" w:hAnsi="Times New Roman Regular"/>
          <w:sz w:val="24"/>
          <w:szCs w:val="24"/>
        </w:rPr>
      </w:pPr>
    </w:p>
    <w:p>
      <w:pPr>
        <w:rPr>
          <w:rFonts w:hint="default" w:ascii="Times New Roman Regular" w:hAnsi="Times New Roman Regular"/>
          <w:sz w:val="24"/>
          <w:szCs w:val="24"/>
        </w:rPr>
      </w:pPr>
      <w:r>
        <w:rPr>
          <w:rFonts w:hint="default" w:ascii="Times New Roman Regular" w:hAnsi="Times New Roman Regular"/>
          <w:sz w:val="24"/>
          <w:szCs w:val="24"/>
        </w:rPr>
        <w:t>Furthermore, authoritative sources, including reports from the American Bar Association, have consistently identified a nationwide shortage of public defenders and systemic barriers to adequate legal representation. These findings underscore that Ms. Liu’s work addresses a nationally recognized problem affecting the administration of justice.</w:t>
      </w:r>
    </w:p>
    <w:p>
      <w:pPr>
        <w:rPr>
          <w:rFonts w:hint="default" w:ascii="Times New Roman Regular" w:hAnsi="Times New Roman Regular"/>
          <w:sz w:val="24"/>
          <w:szCs w:val="24"/>
        </w:rPr>
      </w:pPr>
    </w:p>
    <w:p>
      <w:pPr>
        <w:rPr>
          <w:rFonts w:hint="default" w:ascii="Times New Roman Regular" w:hAnsi="Times New Roman Regular"/>
          <w:sz w:val="24"/>
          <w:szCs w:val="24"/>
        </w:rPr>
      </w:pPr>
      <w:r>
        <w:rPr>
          <w:rFonts w:hint="default" w:ascii="Times New Roman Regular" w:hAnsi="Times New Roman Regular"/>
          <w:sz w:val="24"/>
          <w:szCs w:val="24"/>
        </w:rPr>
        <w:t>Accordingly, the evidence demonstrates that Ms. Liu’s proposed endeavor has substantial merit, is grounded in ongoing professional practice, and carries implications that extend beyond individual clients to the structural functioning of the U.S. criminal justice system.</w:t>
      </w:r>
    </w:p>
    <w:p>
      <w:pPr>
        <w:numPr>
          <w:ilvl w:val="0"/>
          <w:numId w:val="0"/>
        </w:num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While felony cases often receive the most attention, misdemeanor and gross misdemeanor cases represent a substantial portion of the criminal justice system and carry profound consequences.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Offenses such as DUI, assault, and controlled substance possession may result in:</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Incarceration</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Permanent criminal records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Immigration consequences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Loss of employment and housing opportunities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For many individuals, these cases have life-altering implications. Ensuring effective representation at this level is therefore essential to maintaining fairness and preventing systemic inequities.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 Broader Societal Impact</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Ms. Liu’s work contributes to:</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Protecting constitutional rights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Enhancing the reliability of judicial outcomes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Reducing wrongful or excessive penalties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Promoting public confidence in the justice system</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Accordingly, her endeavor extends beyond individual client representation and rises to the level of national importance.</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IV. WELL POSITIONED TO ADVANCE THE PROPOSED ENDEAVOR</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 Education and Legal Training</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Ms. Liu holds a Master of Laws (LL.M.) degree from the University of Washington School of Law. She also possesses prior legal education and professional experience abroad, providing her with a unique comparative and analytical perspective.</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 Substantial Practical Experience</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 her current role, Ms. Liu manages a high-volume caseload exceeding 300 criminal cases annually. Her practice requires: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Frequent court appearances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Weekly representation of detained individuals in correctional facilities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Negotiation of case resolutions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Litigation of contested matters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level of responsibility demonstrates both her competence and her capacity to operate effectively within a demanding legal environment.</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 Demonstrated Impact</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Through her work, Ms. Liu has achieved dismissals and favorable resolutions in multiple cases. These outcomes: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Prevent unjust criminal records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Reduce incarceration</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Protect long-term socioeconomic opportunities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Her ability to consistently secure such outcomes reflects her effectiveness as an advocate.</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 Service to Underserved Populations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Ms. Liu’s clients are primarily indigent individuals who face significant barriers to accessing legal representation.</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Her work directly addresses disparities in the justice system and ensures that vulnerable populations receive constitutionally mandated protections.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 FUTURE PLANS AND CONTINUED IMPACT</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Ms. Liu intends to continue expanding her impact within the field of indigent defense by:</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Enhancing the quality of representation in high-volume misdemeanor systems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Contributing to improved defense strategies and procedural fairness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Supporting systemic efforts to address caseload imbalances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Promoting best practices in representing vulnerable populations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Her continued work will further strengthen the fairness and effectiveness of the U.S. criminal justice system.</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VI. BALANCING TEST: WAIVER OF LABOR CERTIFICATION</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On balance, granting a waiver of the labor certification requirement is in the national interest.</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Ms. Liu’s work addresses a critical and ongoing national need that is not limited to a single employer. The shortage of qualified public defenders and the systemic challenges facing indigent defense are well established.</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Requiring labor certification would not meaningfully advance the national interest, as it would fail to account for the broader societal and constitutional significance of her contributions.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Allowing Ms. Liu to continue her work without such constraints will directly benefit the United States by strengthening access to justice and protecting constitutional rights.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VII. CONCLUSION</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For the foregoing reasons, Ms. Liu satisfies all requirements for a National Interest Waiver under Matter of Dhanasar.</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Her proposed endeavor has substantial merit and national importance, she is well positioned to advance it, and waiving the labor certification requirement would benefit the United States.</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Accordingly, this petition should be approved.</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Respectfully submitted,</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[Name]</w:t>
      </w:r>
    </w:p>
    <w:p>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[Signature]</w:t>
      </w:r>
    </w:p>
    <w:p>
      <w:pPr>
        <w:rPr>
          <w:rFonts w:hint="default" w:ascii="Times New Roman Regular" w:hAnsi="Times New Roman Regular" w:cs="Times New Roman Regular"/>
          <w:sz w:val="24"/>
          <w:szCs w:val="24"/>
        </w:rPr>
      </w:pPr>
    </w:p>
    <w:p>
      <w:pPr>
        <w:rPr>
          <w:rFonts w:hint="default" w:ascii="Times New Roman Regular" w:hAnsi="Times New Roman Regular" w:cs="Times New Roman Regular"/>
          <w:sz w:val="24"/>
          <w:szCs w:val="24"/>
        </w:rPr>
      </w:pPr>
    </w:p>
    <w:p>
      <w:pPr>
        <w:pStyle w:val="3"/>
        <w:keepNext w:val="0"/>
        <w:keepLines w:val="0"/>
        <w:widowControl/>
        <w:suppressLineNumbers w:val="0"/>
      </w:pPr>
      <w:r>
        <w:rPr>
          <w:rStyle w:val="12"/>
          <w:b/>
          <w:bCs/>
        </w:rPr>
        <w:t>EXHIBIT LIST</w:t>
      </w:r>
    </w:p>
    <w:p>
      <w:pPr>
        <w:pStyle w:val="11"/>
        <w:keepNext w:val="0"/>
        <w:keepLines w:val="0"/>
        <w:widowControl/>
        <w:suppressLineNumbers w:val="0"/>
      </w:pPr>
      <w:r>
        <w:rPr>
          <w:rStyle w:val="12"/>
        </w:rPr>
        <w:t>Exhibit A</w:t>
      </w:r>
      <w:r>
        <w:t xml:space="preserve"> – Educational Credentials</w:t>
      </w:r>
    </w:p>
    <w:p>
      <w:pPr>
        <w:keepNext w:val="0"/>
        <w:keepLines w:val="0"/>
        <w:widowControl/>
        <w:numPr>
          <w:ilvl w:val="0"/>
          <w:numId w:val="10"/>
        </w:numPr>
        <w:suppressLineNumbers w:val="0"/>
        <w:spacing w:before="0" w:beforeAutospacing="1" w:after="0" w:afterAutospacing="1"/>
        <w:ind w:left="1440" w:firstLine="0"/>
      </w:pPr>
    </w:p>
    <w:p>
      <w:pPr>
        <w:pStyle w:val="11"/>
        <w:keepNext w:val="0"/>
        <w:keepLines w:val="0"/>
        <w:widowControl/>
        <w:suppressLineNumbers w:val="0"/>
        <w:ind w:left="720"/>
      </w:pPr>
      <w:r>
        <w:t>LL.M., University of Washington School of Law</w:t>
      </w:r>
    </w:p>
    <w:p>
      <w:pPr>
        <w:keepNext w:val="0"/>
        <w:keepLines w:val="0"/>
        <w:widowControl/>
        <w:numPr>
          <w:ilvl w:val="0"/>
          <w:numId w:val="10"/>
        </w:numPr>
        <w:suppressLineNumbers w:val="0"/>
        <w:spacing w:before="0" w:beforeAutospacing="1" w:after="0" w:afterAutospacing="1"/>
        <w:ind w:left="1440" w:firstLine="0"/>
      </w:pPr>
    </w:p>
    <w:p>
      <w:pPr>
        <w:keepNext w:val="0"/>
        <w:keepLines w:val="0"/>
        <w:widowControl/>
        <w:numPr>
          <w:ilvl w:val="0"/>
          <w:numId w:val="10"/>
        </w:numPr>
        <w:suppressLineNumbers w:val="0"/>
        <w:spacing w:before="0" w:beforeAutospacing="1" w:after="0" w:afterAutospacing="1"/>
        <w:ind w:left="1440" w:firstLine="0"/>
      </w:pPr>
    </w:p>
    <w:p>
      <w:pPr>
        <w:pStyle w:val="11"/>
        <w:keepNext w:val="0"/>
        <w:keepLines w:val="0"/>
        <w:widowControl/>
        <w:suppressLineNumbers w:val="0"/>
        <w:ind w:left="720"/>
      </w:pPr>
      <w:r>
        <w:t>Degree certificates</w:t>
      </w:r>
    </w:p>
    <w:p>
      <w:pPr>
        <w:keepNext w:val="0"/>
        <w:keepLines w:val="0"/>
        <w:widowControl/>
        <w:numPr>
          <w:ilvl w:val="0"/>
          <w:numId w:val="10"/>
        </w:numPr>
        <w:suppressLineNumbers w:val="0"/>
        <w:spacing w:before="0" w:beforeAutospacing="1" w:after="0" w:afterAutospacing="1"/>
        <w:ind w:left="1440" w:firstLine="0"/>
      </w:pPr>
    </w:p>
    <w:p>
      <w:pPr>
        <w:pStyle w:val="11"/>
        <w:keepNext w:val="0"/>
        <w:keepLines w:val="0"/>
        <w:widowControl/>
        <w:suppressLineNumbers w:val="0"/>
      </w:pPr>
      <w:r>
        <w:rPr>
          <w:rStyle w:val="12"/>
        </w:rPr>
        <w:t>Exhibit B</w:t>
      </w:r>
      <w:r>
        <w:t xml:space="preserve"> – Professional Licensure</w:t>
      </w:r>
    </w:p>
    <w:p>
      <w:pPr>
        <w:keepNext w:val="0"/>
        <w:keepLines w:val="0"/>
        <w:widowControl/>
        <w:numPr>
          <w:ilvl w:val="0"/>
          <w:numId w:val="11"/>
        </w:numPr>
        <w:suppressLineNumbers w:val="0"/>
        <w:spacing w:before="0" w:beforeAutospacing="1" w:after="0" w:afterAutospacing="1"/>
        <w:ind w:left="1440" w:firstLine="0"/>
      </w:pPr>
    </w:p>
    <w:p>
      <w:pPr>
        <w:pStyle w:val="11"/>
        <w:keepNext w:val="0"/>
        <w:keepLines w:val="0"/>
        <w:widowControl/>
        <w:suppressLineNumbers w:val="0"/>
        <w:ind w:left="720"/>
      </w:pPr>
      <w:r>
        <w:t>Bar admission certificate</w:t>
      </w:r>
    </w:p>
    <w:p>
      <w:pPr>
        <w:keepNext w:val="0"/>
        <w:keepLines w:val="0"/>
        <w:widowControl/>
        <w:numPr>
          <w:ilvl w:val="0"/>
          <w:numId w:val="11"/>
        </w:numPr>
        <w:suppressLineNumbers w:val="0"/>
        <w:spacing w:before="0" w:beforeAutospacing="1" w:after="0" w:afterAutospacing="1"/>
        <w:ind w:left="1440" w:firstLine="0"/>
      </w:pPr>
    </w:p>
    <w:p>
      <w:pPr>
        <w:pStyle w:val="11"/>
        <w:keepNext w:val="0"/>
        <w:keepLines w:val="0"/>
        <w:widowControl/>
        <w:suppressLineNumbers w:val="0"/>
      </w:pPr>
      <w:r>
        <w:rPr>
          <w:rStyle w:val="12"/>
        </w:rPr>
        <w:t>Exhibit C</w:t>
      </w:r>
      <w:r>
        <w:t xml:space="preserve"> – Employment Verification</w:t>
      </w:r>
    </w:p>
    <w:p>
      <w:pPr>
        <w:keepNext w:val="0"/>
        <w:keepLines w:val="0"/>
        <w:widowControl/>
        <w:numPr>
          <w:ilvl w:val="0"/>
          <w:numId w:val="12"/>
        </w:numPr>
        <w:suppressLineNumbers w:val="0"/>
        <w:spacing w:before="0" w:beforeAutospacing="1" w:after="0" w:afterAutospacing="1"/>
        <w:ind w:left="1440" w:firstLine="0"/>
      </w:pPr>
    </w:p>
    <w:p>
      <w:pPr>
        <w:pStyle w:val="11"/>
        <w:keepNext w:val="0"/>
        <w:keepLines w:val="0"/>
        <w:widowControl/>
        <w:suppressLineNumbers w:val="0"/>
        <w:ind w:left="720"/>
      </w:pPr>
      <w:r>
        <w:t>Offer letter</w:t>
      </w:r>
    </w:p>
    <w:p>
      <w:pPr>
        <w:keepNext w:val="0"/>
        <w:keepLines w:val="0"/>
        <w:widowControl/>
        <w:numPr>
          <w:ilvl w:val="0"/>
          <w:numId w:val="12"/>
        </w:numPr>
        <w:suppressLineNumbers w:val="0"/>
        <w:spacing w:before="0" w:beforeAutospacing="1" w:after="0" w:afterAutospacing="1"/>
        <w:ind w:left="1440" w:firstLine="0"/>
      </w:pPr>
    </w:p>
    <w:p>
      <w:pPr>
        <w:keepNext w:val="0"/>
        <w:keepLines w:val="0"/>
        <w:widowControl/>
        <w:numPr>
          <w:ilvl w:val="0"/>
          <w:numId w:val="12"/>
        </w:numPr>
        <w:suppressLineNumbers w:val="0"/>
        <w:spacing w:before="0" w:beforeAutospacing="1" w:after="0" w:afterAutospacing="1"/>
        <w:ind w:left="1440" w:firstLine="0"/>
      </w:pPr>
    </w:p>
    <w:p>
      <w:pPr>
        <w:pStyle w:val="11"/>
        <w:keepNext w:val="0"/>
        <w:keepLines w:val="0"/>
        <w:widowControl/>
        <w:suppressLineNumbers w:val="0"/>
        <w:ind w:left="720"/>
      </w:pPr>
      <w:r>
        <w:t>Employment verification letter</w:t>
      </w:r>
    </w:p>
    <w:p>
      <w:pPr>
        <w:keepNext w:val="0"/>
        <w:keepLines w:val="0"/>
        <w:widowControl/>
        <w:numPr>
          <w:ilvl w:val="0"/>
          <w:numId w:val="12"/>
        </w:numPr>
        <w:suppressLineNumbers w:val="0"/>
        <w:spacing w:before="0" w:beforeAutospacing="1" w:after="0" w:afterAutospacing="1"/>
        <w:ind w:left="1440" w:firstLine="0"/>
      </w:pPr>
    </w:p>
    <w:p>
      <w:pPr>
        <w:keepNext w:val="0"/>
        <w:keepLines w:val="0"/>
        <w:widowControl/>
        <w:numPr>
          <w:ilvl w:val="0"/>
          <w:numId w:val="12"/>
        </w:numPr>
        <w:suppressLineNumbers w:val="0"/>
        <w:spacing w:before="0" w:beforeAutospacing="1" w:after="0" w:afterAutospacing="1"/>
        <w:ind w:left="1440" w:firstLine="0"/>
      </w:pPr>
    </w:p>
    <w:p>
      <w:pPr>
        <w:pStyle w:val="11"/>
        <w:keepNext w:val="0"/>
        <w:keepLines w:val="0"/>
        <w:widowControl/>
        <w:suppressLineNumbers w:val="0"/>
        <w:ind w:left="720"/>
      </w:pPr>
      <w:r>
        <w:t>Job description</w:t>
      </w:r>
    </w:p>
    <w:p>
      <w:pPr>
        <w:keepNext w:val="0"/>
        <w:keepLines w:val="0"/>
        <w:widowControl/>
        <w:numPr>
          <w:ilvl w:val="0"/>
          <w:numId w:val="12"/>
        </w:numPr>
        <w:suppressLineNumbers w:val="0"/>
        <w:spacing w:before="0" w:beforeAutospacing="1" w:after="0" w:afterAutospacing="1"/>
        <w:ind w:left="1440" w:firstLine="0"/>
      </w:pPr>
    </w:p>
    <w:p>
      <w:pPr>
        <w:pStyle w:val="11"/>
        <w:keepNext w:val="0"/>
        <w:keepLines w:val="0"/>
        <w:widowControl/>
        <w:suppressLineNumbers w:val="0"/>
      </w:pPr>
      <w:r>
        <w:rPr>
          <w:rStyle w:val="12"/>
        </w:rPr>
        <w:t>Exhibit D</w:t>
      </w:r>
      <w:r>
        <w:t xml:space="preserve"> – Evidence of Work Experience</w:t>
      </w:r>
    </w:p>
    <w:p>
      <w:pPr>
        <w:keepNext w:val="0"/>
        <w:keepLines w:val="0"/>
        <w:widowControl/>
        <w:numPr>
          <w:ilvl w:val="0"/>
          <w:numId w:val="13"/>
        </w:numPr>
        <w:suppressLineNumbers w:val="0"/>
        <w:spacing w:before="0" w:beforeAutospacing="1" w:after="0" w:afterAutospacing="1"/>
        <w:ind w:left="1440" w:firstLine="0"/>
      </w:pPr>
    </w:p>
    <w:p>
      <w:pPr>
        <w:pStyle w:val="11"/>
        <w:keepNext w:val="0"/>
        <w:keepLines w:val="0"/>
        <w:widowControl/>
        <w:suppressLineNumbers w:val="0"/>
        <w:ind w:left="720"/>
      </w:pPr>
      <w:r>
        <w:t>Resume / CV</w:t>
      </w:r>
    </w:p>
    <w:p>
      <w:pPr>
        <w:keepNext w:val="0"/>
        <w:keepLines w:val="0"/>
        <w:widowControl/>
        <w:numPr>
          <w:ilvl w:val="0"/>
          <w:numId w:val="13"/>
        </w:numPr>
        <w:suppressLineNumbers w:val="0"/>
        <w:spacing w:before="0" w:beforeAutospacing="1" w:after="0" w:afterAutospacing="1"/>
        <w:ind w:left="1440" w:firstLine="0"/>
      </w:pPr>
    </w:p>
    <w:p>
      <w:pPr>
        <w:keepNext w:val="0"/>
        <w:keepLines w:val="0"/>
        <w:widowControl/>
        <w:numPr>
          <w:ilvl w:val="0"/>
          <w:numId w:val="13"/>
        </w:numPr>
        <w:suppressLineNumbers w:val="0"/>
        <w:spacing w:before="0" w:beforeAutospacing="1" w:after="0" w:afterAutospacing="1"/>
        <w:ind w:left="1440" w:firstLine="0"/>
      </w:pPr>
    </w:p>
    <w:p>
      <w:pPr>
        <w:pStyle w:val="11"/>
        <w:keepNext w:val="0"/>
        <w:keepLines w:val="0"/>
        <w:widowControl/>
        <w:suppressLineNumbers w:val="0"/>
        <w:ind w:left="720"/>
      </w:pPr>
      <w:r>
        <w:t>Description of legal practice</w:t>
      </w:r>
    </w:p>
    <w:p>
      <w:pPr>
        <w:keepNext w:val="0"/>
        <w:keepLines w:val="0"/>
        <w:widowControl/>
        <w:numPr>
          <w:ilvl w:val="0"/>
          <w:numId w:val="13"/>
        </w:numPr>
        <w:suppressLineNumbers w:val="0"/>
        <w:spacing w:before="0" w:beforeAutospacing="1" w:after="0" w:afterAutospacing="1"/>
        <w:ind w:left="1440" w:firstLine="0"/>
      </w:pPr>
    </w:p>
    <w:p>
      <w:pPr>
        <w:pStyle w:val="11"/>
        <w:keepNext w:val="0"/>
        <w:keepLines w:val="0"/>
        <w:widowControl/>
        <w:suppressLineNumbers w:val="0"/>
      </w:pPr>
      <w:r>
        <w:rPr>
          <w:rStyle w:val="12"/>
        </w:rPr>
        <w:t>Exhibit E</w:t>
      </w:r>
      <w:r>
        <w:t xml:space="preserve"> – Evidence of Caseload and Impact</w:t>
      </w:r>
    </w:p>
    <w:p>
      <w:pPr>
        <w:keepNext w:val="0"/>
        <w:keepLines w:val="0"/>
        <w:widowControl/>
        <w:numPr>
          <w:ilvl w:val="0"/>
          <w:numId w:val="14"/>
        </w:numPr>
        <w:suppressLineNumbers w:val="0"/>
        <w:spacing w:before="0" w:beforeAutospacing="1" w:after="0" w:afterAutospacing="1"/>
        <w:ind w:left="1440" w:firstLine="0"/>
      </w:pPr>
    </w:p>
    <w:p>
      <w:pPr>
        <w:pStyle w:val="11"/>
        <w:keepNext w:val="0"/>
        <w:keepLines w:val="0"/>
        <w:widowControl/>
        <w:suppressLineNumbers w:val="0"/>
        <w:ind w:left="720"/>
      </w:pPr>
      <w:r>
        <w:t>Statement describing handling of 300+ cases annually</w:t>
      </w:r>
    </w:p>
    <w:p>
      <w:pPr>
        <w:keepNext w:val="0"/>
        <w:keepLines w:val="0"/>
        <w:widowControl/>
        <w:numPr>
          <w:ilvl w:val="0"/>
          <w:numId w:val="14"/>
        </w:numPr>
        <w:suppressLineNumbers w:val="0"/>
        <w:spacing w:before="0" w:beforeAutospacing="1" w:after="0" w:afterAutospacing="1"/>
        <w:ind w:left="1440" w:firstLine="0"/>
      </w:pPr>
    </w:p>
    <w:p>
      <w:pPr>
        <w:keepNext w:val="0"/>
        <w:keepLines w:val="0"/>
        <w:widowControl/>
        <w:numPr>
          <w:ilvl w:val="0"/>
          <w:numId w:val="14"/>
        </w:numPr>
        <w:suppressLineNumbers w:val="0"/>
        <w:spacing w:before="0" w:beforeAutospacing="1" w:after="0" w:afterAutospacing="1"/>
        <w:ind w:left="1440" w:firstLine="0"/>
      </w:pPr>
    </w:p>
    <w:p>
      <w:pPr>
        <w:pStyle w:val="11"/>
        <w:keepNext w:val="0"/>
        <w:keepLines w:val="0"/>
        <w:widowControl/>
        <w:suppressLineNumbers w:val="0"/>
        <w:ind w:left="720"/>
      </w:pPr>
      <w:r>
        <w:t>Sample anonymized case summaries</w:t>
      </w:r>
    </w:p>
    <w:p>
      <w:pPr>
        <w:keepNext w:val="0"/>
        <w:keepLines w:val="0"/>
        <w:widowControl/>
        <w:numPr>
          <w:ilvl w:val="0"/>
          <w:numId w:val="14"/>
        </w:numPr>
        <w:suppressLineNumbers w:val="0"/>
        <w:spacing w:before="0" w:beforeAutospacing="1" w:after="0" w:afterAutospacing="1"/>
        <w:ind w:left="1440" w:firstLine="0"/>
      </w:pPr>
    </w:p>
    <w:p>
      <w:pPr>
        <w:keepNext w:val="0"/>
        <w:keepLines w:val="0"/>
        <w:widowControl/>
        <w:numPr>
          <w:ilvl w:val="0"/>
          <w:numId w:val="14"/>
        </w:numPr>
        <w:suppressLineNumbers w:val="0"/>
        <w:spacing w:before="0" w:beforeAutospacing="1" w:after="0" w:afterAutospacing="1"/>
        <w:ind w:left="1440" w:firstLine="0"/>
      </w:pPr>
    </w:p>
    <w:p>
      <w:pPr>
        <w:pStyle w:val="11"/>
        <w:keepNext w:val="0"/>
        <w:keepLines w:val="0"/>
        <w:widowControl/>
        <w:suppressLineNumbers w:val="0"/>
        <w:ind w:left="720"/>
      </w:pPr>
      <w:r>
        <w:t>Evidence of dismissals / favorable outcomes</w:t>
      </w:r>
    </w:p>
    <w:p>
      <w:pPr>
        <w:keepNext w:val="0"/>
        <w:keepLines w:val="0"/>
        <w:widowControl/>
        <w:numPr>
          <w:ilvl w:val="0"/>
          <w:numId w:val="14"/>
        </w:numPr>
        <w:suppressLineNumbers w:val="0"/>
        <w:spacing w:before="0" w:beforeAutospacing="1" w:after="0" w:afterAutospacing="1"/>
        <w:ind w:left="1440" w:firstLine="0"/>
      </w:pPr>
    </w:p>
    <w:p>
      <w:pPr>
        <w:pStyle w:val="11"/>
        <w:keepNext w:val="0"/>
        <w:keepLines w:val="0"/>
        <w:widowControl/>
        <w:suppressLineNumbers w:val="0"/>
      </w:pPr>
      <w:r>
        <w:rPr>
          <w:rStyle w:val="12"/>
        </w:rPr>
        <w:t>Exhibit F</w:t>
      </w:r>
      <w:r>
        <w:t xml:space="preserve"> – Evidence of Work with Detained Individuals</w:t>
      </w:r>
    </w:p>
    <w:p>
      <w:pPr>
        <w:keepNext w:val="0"/>
        <w:keepLines w:val="0"/>
        <w:widowControl/>
        <w:numPr>
          <w:ilvl w:val="0"/>
          <w:numId w:val="15"/>
        </w:numPr>
        <w:suppressLineNumbers w:val="0"/>
        <w:spacing w:before="0" w:beforeAutospacing="1" w:after="0" w:afterAutospacing="1"/>
        <w:ind w:left="1440" w:firstLine="0"/>
      </w:pPr>
    </w:p>
    <w:p>
      <w:pPr>
        <w:pStyle w:val="11"/>
        <w:keepNext w:val="0"/>
        <w:keepLines w:val="0"/>
        <w:widowControl/>
        <w:suppressLineNumbers w:val="0"/>
        <w:ind w:left="720"/>
      </w:pPr>
      <w:r>
        <w:t>Description of weekly jail visits</w:t>
      </w:r>
    </w:p>
    <w:p>
      <w:pPr>
        <w:keepNext w:val="0"/>
        <w:keepLines w:val="0"/>
        <w:widowControl/>
        <w:numPr>
          <w:ilvl w:val="0"/>
          <w:numId w:val="15"/>
        </w:numPr>
        <w:suppressLineNumbers w:val="0"/>
        <w:spacing w:before="0" w:beforeAutospacing="1" w:after="0" w:afterAutospacing="1"/>
        <w:ind w:left="1440" w:firstLine="0"/>
      </w:pPr>
    </w:p>
    <w:p>
      <w:pPr>
        <w:keepNext w:val="0"/>
        <w:keepLines w:val="0"/>
        <w:widowControl/>
        <w:numPr>
          <w:ilvl w:val="0"/>
          <w:numId w:val="15"/>
        </w:numPr>
        <w:suppressLineNumbers w:val="0"/>
        <w:spacing w:before="0" w:beforeAutospacing="1" w:after="0" w:afterAutospacing="1"/>
        <w:ind w:left="1440" w:firstLine="0"/>
      </w:pPr>
    </w:p>
    <w:p>
      <w:pPr>
        <w:pStyle w:val="11"/>
        <w:keepNext w:val="0"/>
        <w:keepLines w:val="0"/>
        <w:widowControl/>
        <w:suppressLineNumbers w:val="0"/>
        <w:ind w:left="720"/>
      </w:pPr>
      <w:r>
        <w:t>Court schedules or internal records (if available)</w:t>
      </w:r>
    </w:p>
    <w:p>
      <w:pPr>
        <w:keepNext w:val="0"/>
        <w:keepLines w:val="0"/>
        <w:widowControl/>
        <w:numPr>
          <w:ilvl w:val="0"/>
          <w:numId w:val="15"/>
        </w:numPr>
        <w:suppressLineNumbers w:val="0"/>
        <w:spacing w:before="0" w:beforeAutospacing="1" w:after="0" w:afterAutospacing="1"/>
        <w:ind w:left="1440" w:firstLine="0"/>
      </w:pPr>
    </w:p>
    <w:p>
      <w:pPr>
        <w:pStyle w:val="11"/>
        <w:keepNext w:val="0"/>
        <w:keepLines w:val="0"/>
        <w:widowControl/>
        <w:suppressLineNumbers w:val="0"/>
      </w:pPr>
      <w:r>
        <w:rPr>
          <w:rStyle w:val="12"/>
        </w:rPr>
        <w:t>Exhibit G</w:t>
      </w:r>
      <w:r>
        <w:t xml:space="preserve"> – Evidence of National Importance</w:t>
      </w:r>
    </w:p>
    <w:p>
      <w:pPr>
        <w:keepNext w:val="0"/>
        <w:keepLines w:val="0"/>
        <w:widowControl/>
        <w:numPr>
          <w:ilvl w:val="0"/>
          <w:numId w:val="16"/>
        </w:numPr>
        <w:suppressLineNumbers w:val="0"/>
        <w:spacing w:before="0" w:beforeAutospacing="1" w:after="0" w:afterAutospacing="1"/>
        <w:ind w:left="1440" w:firstLine="0"/>
      </w:pPr>
    </w:p>
    <w:p>
      <w:pPr>
        <w:pStyle w:val="11"/>
        <w:keepNext w:val="0"/>
        <w:keepLines w:val="0"/>
        <w:widowControl/>
        <w:suppressLineNumbers w:val="0"/>
        <w:ind w:left="720"/>
      </w:pPr>
      <w:r>
        <w:t>Reports from American Bar Association</w:t>
      </w:r>
    </w:p>
    <w:p>
      <w:pPr>
        <w:keepNext w:val="0"/>
        <w:keepLines w:val="0"/>
        <w:widowControl/>
        <w:numPr>
          <w:ilvl w:val="0"/>
          <w:numId w:val="16"/>
        </w:numPr>
        <w:suppressLineNumbers w:val="0"/>
        <w:spacing w:before="0" w:beforeAutospacing="1" w:after="0" w:afterAutospacing="1"/>
        <w:ind w:left="1440" w:firstLine="0"/>
      </w:pPr>
    </w:p>
    <w:p>
      <w:pPr>
        <w:keepNext w:val="0"/>
        <w:keepLines w:val="0"/>
        <w:widowControl/>
        <w:numPr>
          <w:ilvl w:val="0"/>
          <w:numId w:val="16"/>
        </w:numPr>
        <w:suppressLineNumbers w:val="0"/>
        <w:spacing w:before="0" w:beforeAutospacing="1" w:after="0" w:afterAutospacing="1"/>
        <w:ind w:left="1440" w:firstLine="0"/>
      </w:pPr>
    </w:p>
    <w:p>
      <w:pPr>
        <w:pStyle w:val="11"/>
        <w:keepNext w:val="0"/>
        <w:keepLines w:val="0"/>
        <w:widowControl/>
        <w:suppressLineNumbers w:val="0"/>
        <w:ind w:left="720"/>
      </w:pPr>
      <w:r>
        <w:t>Articles on public defender shortage</w:t>
      </w:r>
    </w:p>
    <w:p>
      <w:pPr>
        <w:keepNext w:val="0"/>
        <w:keepLines w:val="0"/>
        <w:widowControl/>
        <w:numPr>
          <w:ilvl w:val="0"/>
          <w:numId w:val="16"/>
        </w:numPr>
        <w:suppressLineNumbers w:val="0"/>
        <w:spacing w:before="0" w:beforeAutospacing="1" w:after="0" w:afterAutospacing="1"/>
        <w:ind w:left="1440" w:firstLine="0"/>
      </w:pPr>
    </w:p>
    <w:p>
      <w:pPr>
        <w:keepNext w:val="0"/>
        <w:keepLines w:val="0"/>
        <w:widowControl/>
        <w:numPr>
          <w:ilvl w:val="0"/>
          <w:numId w:val="16"/>
        </w:numPr>
        <w:suppressLineNumbers w:val="0"/>
        <w:spacing w:before="0" w:beforeAutospacing="1" w:after="0" w:afterAutospacing="1"/>
        <w:ind w:left="1440" w:firstLine="0"/>
      </w:pPr>
    </w:p>
    <w:p>
      <w:pPr>
        <w:pStyle w:val="11"/>
        <w:keepNext w:val="0"/>
        <w:keepLines w:val="0"/>
        <w:widowControl/>
        <w:suppressLineNumbers w:val="0"/>
        <w:ind w:left="720"/>
      </w:pPr>
      <w:r>
        <w:t>Data on indigent defense crisis</w:t>
      </w:r>
    </w:p>
    <w:p>
      <w:pPr>
        <w:keepNext w:val="0"/>
        <w:keepLines w:val="0"/>
        <w:widowControl/>
        <w:numPr>
          <w:ilvl w:val="0"/>
          <w:numId w:val="16"/>
        </w:numPr>
        <w:suppressLineNumbers w:val="0"/>
        <w:spacing w:before="0" w:beforeAutospacing="1" w:after="0" w:afterAutospacing="1"/>
        <w:ind w:left="1440" w:firstLine="0"/>
      </w:pPr>
    </w:p>
    <w:p>
      <w:pPr>
        <w:pStyle w:val="11"/>
        <w:keepNext w:val="0"/>
        <w:keepLines w:val="0"/>
        <w:widowControl/>
        <w:suppressLineNumbers w:val="0"/>
      </w:pPr>
      <w:r>
        <w:rPr>
          <w:rStyle w:val="12"/>
        </w:rPr>
        <w:t>Exhibit H</w:t>
      </w:r>
      <w:r>
        <w:t xml:space="preserve"> – Supporting Documentation</w:t>
      </w:r>
    </w:p>
    <w:p>
      <w:pPr>
        <w:keepNext w:val="0"/>
        <w:keepLines w:val="0"/>
        <w:widowControl/>
        <w:numPr>
          <w:ilvl w:val="0"/>
          <w:numId w:val="17"/>
        </w:numPr>
        <w:suppressLineNumbers w:val="0"/>
        <w:spacing w:before="0" w:beforeAutospacing="1" w:after="0" w:afterAutospacing="1"/>
        <w:ind w:left="1440" w:firstLine="0"/>
      </w:pPr>
    </w:p>
    <w:p>
      <w:pPr>
        <w:pStyle w:val="11"/>
        <w:keepNext w:val="0"/>
        <w:keepLines w:val="0"/>
        <w:widowControl/>
        <w:suppressLineNumbers w:val="0"/>
        <w:ind w:left="720"/>
      </w:pPr>
      <w:r>
        <w:t>Any awards / recognitions (if any)</w:t>
      </w:r>
    </w:p>
    <w:p>
      <w:pPr>
        <w:keepNext w:val="0"/>
        <w:keepLines w:val="0"/>
        <w:widowControl/>
        <w:numPr>
          <w:ilvl w:val="0"/>
          <w:numId w:val="17"/>
        </w:numPr>
        <w:suppressLineNumbers w:val="0"/>
        <w:spacing w:before="0" w:beforeAutospacing="1" w:after="0" w:afterAutospacing="1"/>
        <w:ind w:left="1440" w:firstLine="0"/>
      </w:pPr>
    </w:p>
    <w:p>
      <w:pPr>
        <w:keepNext w:val="0"/>
        <w:keepLines w:val="0"/>
        <w:widowControl/>
        <w:numPr>
          <w:ilvl w:val="0"/>
          <w:numId w:val="17"/>
        </w:numPr>
        <w:suppressLineNumbers w:val="0"/>
        <w:spacing w:before="0" w:beforeAutospacing="1" w:after="0" w:afterAutospacing="1"/>
        <w:ind w:left="1440" w:firstLine="0"/>
      </w:pPr>
    </w:p>
    <w:p>
      <w:pPr>
        <w:pStyle w:val="11"/>
        <w:keepNext w:val="0"/>
        <w:keepLines w:val="0"/>
        <w:widowControl/>
        <w:suppressLineNumbers w:val="0"/>
        <w:ind w:left="720"/>
      </w:pPr>
      <w:r>
        <w:t>Additional supporting materials</w:t>
      </w:r>
    </w:p>
    <w:p>
      <w:pPr>
        <w:keepNext w:val="0"/>
        <w:keepLines w:val="0"/>
        <w:widowControl/>
        <w:numPr>
          <w:ilvl w:val="0"/>
          <w:numId w:val="17"/>
        </w:numPr>
        <w:suppressLineNumbers w:val="0"/>
        <w:spacing w:before="0" w:beforeAutospacing="1" w:after="0" w:afterAutospacing="1"/>
        <w:ind w:left="1440" w:firstLine="0"/>
      </w:pPr>
    </w:p>
    <w:p>
      <w:pPr>
        <w:pStyle w:val="11"/>
        <w:keepNext w:val="0"/>
        <w:keepLines w:val="0"/>
        <w:widowControl/>
        <w:suppressLineNumbers w:val="0"/>
      </w:pPr>
      <w:r>
        <w:rPr>
          <w:rStyle w:val="12"/>
        </w:rPr>
        <w:t>Exhibit I–M</w:t>
      </w:r>
      <w:r>
        <w:t xml:space="preserve"> – Recommendation Letters</w:t>
      </w:r>
    </w:p>
    <w:p>
      <w:pPr>
        <w:keepNext w:val="0"/>
        <w:keepLines w:val="0"/>
        <w:widowControl/>
        <w:numPr>
          <w:ilvl w:val="0"/>
          <w:numId w:val="18"/>
        </w:numPr>
        <w:suppressLineNumbers w:val="0"/>
        <w:spacing w:before="0" w:beforeAutospacing="1" w:after="0" w:afterAutospacing="1"/>
        <w:ind w:left="1440" w:firstLine="0"/>
      </w:pPr>
    </w:p>
    <w:p>
      <w:pPr>
        <w:pStyle w:val="11"/>
        <w:keepNext w:val="0"/>
        <w:keepLines w:val="0"/>
        <w:widowControl/>
        <w:suppressLineNumbers w:val="0"/>
        <w:ind w:left="720"/>
      </w:pPr>
      <w:r>
        <w:t>Letter from supervisor</w:t>
      </w:r>
    </w:p>
    <w:p>
      <w:pPr>
        <w:keepNext w:val="0"/>
        <w:keepLines w:val="0"/>
        <w:widowControl/>
        <w:numPr>
          <w:ilvl w:val="0"/>
          <w:numId w:val="18"/>
        </w:numPr>
        <w:suppressLineNumbers w:val="0"/>
        <w:spacing w:before="0" w:beforeAutospacing="1" w:after="0" w:afterAutospacing="1"/>
        <w:ind w:left="1440" w:firstLine="0"/>
      </w:pPr>
    </w:p>
    <w:p>
      <w:pPr>
        <w:keepNext w:val="0"/>
        <w:keepLines w:val="0"/>
        <w:widowControl/>
        <w:numPr>
          <w:ilvl w:val="0"/>
          <w:numId w:val="18"/>
        </w:numPr>
        <w:suppressLineNumbers w:val="0"/>
        <w:spacing w:before="0" w:beforeAutospacing="1" w:after="0" w:afterAutospacing="1"/>
        <w:ind w:left="1440" w:firstLine="0"/>
      </w:pPr>
    </w:p>
    <w:p>
      <w:pPr>
        <w:pStyle w:val="11"/>
        <w:keepNext w:val="0"/>
        <w:keepLines w:val="0"/>
        <w:widowControl/>
        <w:suppressLineNumbers w:val="0"/>
        <w:ind w:left="720"/>
      </w:pPr>
      <w:r>
        <w:t>Letter from colleague</w:t>
      </w:r>
    </w:p>
    <w:p>
      <w:pPr>
        <w:keepNext w:val="0"/>
        <w:keepLines w:val="0"/>
        <w:widowControl/>
        <w:numPr>
          <w:ilvl w:val="0"/>
          <w:numId w:val="18"/>
        </w:numPr>
        <w:suppressLineNumbers w:val="0"/>
        <w:spacing w:before="0" w:beforeAutospacing="1" w:after="0" w:afterAutospacing="1"/>
        <w:ind w:left="1440" w:firstLine="0"/>
      </w:pPr>
    </w:p>
    <w:p>
      <w:pPr>
        <w:keepNext w:val="0"/>
        <w:keepLines w:val="0"/>
        <w:widowControl/>
        <w:numPr>
          <w:ilvl w:val="0"/>
          <w:numId w:val="18"/>
        </w:numPr>
        <w:suppressLineNumbers w:val="0"/>
        <w:spacing w:before="0" w:beforeAutospacing="1" w:after="0" w:afterAutospacing="1"/>
        <w:ind w:left="1440" w:firstLine="0"/>
      </w:pPr>
    </w:p>
    <w:p>
      <w:pPr>
        <w:pStyle w:val="11"/>
        <w:keepNext w:val="0"/>
        <w:keepLines w:val="0"/>
        <w:widowControl/>
        <w:suppressLineNumbers w:val="0"/>
        <w:ind w:left="720"/>
      </w:pPr>
      <w:r>
        <w:t>Letter from independent expert</w:t>
      </w:r>
    </w:p>
    <w:p>
      <w:pPr>
        <w:keepNext w:val="0"/>
        <w:keepLines w:val="0"/>
        <w:widowControl/>
        <w:numPr>
          <w:ilvl w:val="0"/>
          <w:numId w:val="18"/>
        </w:numPr>
        <w:suppressLineNumbers w:val="0"/>
        <w:spacing w:before="0" w:beforeAutospacing="1" w:after="0" w:afterAutospacing="1"/>
        <w:ind w:left="1440" w:firstLine="0"/>
      </w:pPr>
    </w:p>
    <w:p>
      <w:pPr>
        <w:keepNext w:val="0"/>
        <w:keepLines w:val="0"/>
        <w:widowControl/>
        <w:numPr>
          <w:ilvl w:val="0"/>
          <w:numId w:val="18"/>
        </w:numPr>
        <w:suppressLineNumbers w:val="0"/>
        <w:spacing w:before="0" w:beforeAutospacing="1" w:after="0" w:afterAutospacing="1"/>
        <w:ind w:left="1440" w:firstLine="0"/>
      </w:pPr>
    </w:p>
    <w:p>
      <w:pPr>
        <w:pStyle w:val="11"/>
        <w:keepNext w:val="0"/>
        <w:keepLines w:val="0"/>
        <w:widowControl/>
        <w:suppressLineNumbers w:val="0"/>
        <w:ind w:left="720"/>
      </w:pPr>
      <w:r>
        <w:t>(建议至少5封)</w:t>
      </w:r>
    </w:p>
    <w:p>
      <w:pPr>
        <w:pStyle w:val="11"/>
        <w:keepNext w:val="0"/>
        <w:keepLines w:val="0"/>
        <w:widowControl/>
        <w:suppressLineNumbers w:val="0"/>
        <w:rPr>
          <w:rFonts w:hint="default" w:ascii="Times New Roman Regular" w:hAnsi="Times New Roman Regular" w:cs="Times New Roman Regular"/>
          <w:sz w:val="24"/>
          <w:szCs w:val="24"/>
        </w:rPr>
      </w:pPr>
    </w:p>
    <w:p>
      <w:pPr>
        <w:pStyle w:val="3"/>
        <w:keepNext w:val="0"/>
        <w:keepLines w:val="0"/>
        <w:widowControl/>
        <w:suppressLineNumbers w:val="0"/>
      </w:pPr>
      <w:r>
        <w:rPr>
          <w:rFonts w:hint="eastAsia" w:ascii="Times New Roman Regular" w:hAnsi="Times New Roman Regular" w:cs="Times New Roman Regular"/>
          <w:sz w:val="24"/>
          <w:szCs w:val="24"/>
          <w:lang w:val="en-US" w:eastAsia="zh-CN"/>
        </w:rPr>
        <w:t>加</w:t>
      </w:r>
      <w:r>
        <w:t>. Personal Statement（1–2页）</w:t>
      </w:r>
    </w:p>
    <w:p>
      <w:pPr>
        <w:pStyle w:val="11"/>
        <w:keepNext w:val="0"/>
        <w:keepLines w:val="0"/>
        <w:widowControl/>
        <w:suppressLineNumbers w:val="0"/>
      </w:pPr>
      <w:r>
        <w:t>讲：为什么做 public defende</w:t>
      </w:r>
      <w:r>
        <w:rPr>
          <w:rFonts w:hint="eastAsia"/>
          <w:lang w:val="en-US" w:eastAsia="zh-CN"/>
        </w:rPr>
        <w:t>r</w:t>
      </w:r>
      <w:r>
        <w:rPr>
          <w:rFonts w:hint="default"/>
          <w:lang w:val="en-US" w:eastAsia="zh-CN"/>
        </w:rPr>
        <w:t xml:space="preserve">; </w:t>
      </w:r>
      <w:r>
        <w:t>你看到的不公平</w:t>
      </w:r>
      <w:r>
        <w:rPr>
          <w:rFonts w:hint="default"/>
          <w:lang w:val="en-US"/>
        </w:rPr>
        <w:t xml:space="preserve">; </w:t>
      </w:r>
      <w:r>
        <w:t>未来目标</w:t>
      </w:r>
    </w:p>
    <w:p>
      <w:pPr>
        <w:pStyle w:val="3"/>
        <w:keepNext w:val="0"/>
        <w:keepLines w:val="0"/>
        <w:widowControl/>
        <w:suppressLineNumbers w:val="0"/>
      </w:pPr>
      <w:r>
        <w:rPr>
          <w:rFonts w:hint="eastAsia"/>
          <w:lang w:val="en-US" w:eastAsia="zh-CN"/>
        </w:rPr>
        <w:t>加</w:t>
      </w:r>
      <w:r>
        <w:t>Case Examples（非常加分）</w:t>
      </w:r>
    </w:p>
    <w:p>
      <w:pPr>
        <w:pStyle w:val="11"/>
        <w:keepNext w:val="0"/>
        <w:keepLines w:val="0"/>
        <w:widowControl/>
        <w:suppressLineNumbers w:val="0"/>
      </w:pPr>
      <w:r>
        <w:t>写2–3个：</w:t>
      </w:r>
    </w:p>
    <w:p>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Case Example 1 (Anonymized):</w:t>
      </w:r>
    </w:p>
    <w:p>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Client charged with DUI. Through legal advocacy, the case was dismissed due to insufficient evidence.</w:t>
      </w:r>
    </w:p>
    <w:p>
      <w:pPr>
        <w:keepNext w:val="0"/>
        <w:keepLines w:val="0"/>
        <w:widowControl/>
        <w:suppressLineNumbers w:val="0"/>
        <w:bidi w:val="0"/>
        <w:jc w:val="left"/>
      </w:pPr>
      <w:r>
        <w:rPr>
          <w:rStyle w:val="8"/>
          <w:rFonts w:ascii="SimSun" w:hAnsi="SimSun" w:eastAsia="SimSun" w:cs="SimSun"/>
          <w:kern w:val="0"/>
          <w:sz w:val="24"/>
          <w:szCs w:val="24"/>
          <w:lang w:val="en-US" w:eastAsia="zh-CN" w:bidi="ar"/>
        </w:rPr>
        <w:t>Outcome: Avoided criminal record and significant financial penalties.</w:t>
      </w:r>
    </w:p>
    <w:p>
      <w:pPr>
        <w:pStyle w:val="3"/>
        <w:keepNext w:val="0"/>
        <w:keepLines w:val="0"/>
        <w:widowControl/>
        <w:suppressLineNumbers w:val="0"/>
      </w:pPr>
      <w:r>
        <w:rPr>
          <w:rFonts w:hint="eastAsia"/>
          <w:lang w:val="en-US" w:eastAsia="zh-CN"/>
        </w:rPr>
        <w:t>加</w:t>
      </w:r>
      <w:r>
        <w:t>Caseload Breakdown（简单但很有力）</w:t>
      </w:r>
    </w:p>
    <w:p>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Annual Caseload: 300+ cases  </w:t>
      </w:r>
    </w:p>
    <w:p>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DUI: ~30%  </w:t>
      </w:r>
    </w:p>
    <w:p>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Assault: ~25%  </w:t>
      </w:r>
    </w:p>
    <w:p>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Theft: ~20%  </w:t>
      </w:r>
    </w:p>
    <w:p>
      <w:pPr>
        <w:keepNext w:val="0"/>
        <w:keepLines w:val="0"/>
        <w:widowControl/>
        <w:suppressLineNumbers w:val="0"/>
        <w:bidi w:val="0"/>
        <w:jc w:val="left"/>
      </w:pPr>
      <w:r>
        <w:rPr>
          <w:rStyle w:val="8"/>
          <w:rFonts w:ascii="SimSun" w:hAnsi="SimSun" w:eastAsia="SimSun" w:cs="SimSun"/>
          <w:kern w:val="0"/>
          <w:sz w:val="24"/>
          <w:szCs w:val="24"/>
          <w:lang w:val="en-US" w:eastAsia="zh-CN" w:bidi="ar"/>
        </w:rPr>
        <w:t>- Other: ~25%</w:t>
      </w:r>
    </w:p>
    <w:p>
      <w:pPr>
        <w:pStyle w:val="11"/>
        <w:keepNext w:val="0"/>
        <w:keepLines w:val="0"/>
        <w:widowControl/>
        <w:suppressLineNumbers w:val="0"/>
        <w:rPr>
          <w:rFonts w:hint="default"/>
          <w:lang w:val="en-US" w:eastAsia="zh-CN"/>
        </w:rPr>
      </w:pPr>
      <w:r>
        <w:rPr>
          <w:rFonts w:hint="eastAsia"/>
          <w:lang w:val="en-US" w:eastAsia="zh-CN"/>
        </w:rPr>
        <w:t>推荐信1：Supervisor Attorney</w:t>
      </w:r>
    </w:p>
    <w:p>
      <w:pPr>
        <w:pStyle w:val="11"/>
        <w:keepNext w:val="0"/>
        <w:keepLines w:val="0"/>
        <w:widowControl/>
        <w:suppressLineNumbers w:val="0"/>
        <w:rPr>
          <w:rFonts w:hint="eastAsia"/>
          <w:lang w:val="en-US" w:eastAsia="zh-CN"/>
        </w:rPr>
      </w:pPr>
      <w:r>
        <w:rPr>
          <w:rFonts w:hint="eastAsia"/>
          <w:lang w:val="en-US" w:eastAsia="zh-CN"/>
        </w:rPr>
        <w:t>I have directly supervised Ms. Ze Liu in her role as a public defender. She manages an exceptionally high caseload exceeding 300 cases annually, including DUI, assault, theft, and controlled substance cases.</w:t>
      </w:r>
    </w:p>
    <w:p>
      <w:pPr>
        <w:pStyle w:val="11"/>
        <w:keepNext w:val="0"/>
        <w:keepLines w:val="0"/>
        <w:widowControl/>
        <w:suppressLineNumbers w:val="0"/>
        <w:rPr>
          <w:rFonts w:hint="eastAsia"/>
          <w:lang w:val="en-US" w:eastAsia="zh-CN"/>
        </w:rPr>
      </w:pPr>
      <w:r>
        <w:rPr>
          <w:rFonts w:hint="eastAsia"/>
          <w:lang w:val="en-US" w:eastAsia="zh-CN"/>
        </w:rPr>
        <w:t>Her work is essential to ensuring that indigent defendants receive constitutionally mandated representation under the Sixth Amendment. I have personally observed her ability to secure dismissals and favorable outcomes in complex cases.</w:t>
      </w:r>
    </w:p>
    <w:p>
      <w:pPr>
        <w:pStyle w:val="11"/>
        <w:keepNext w:val="0"/>
        <w:keepLines w:val="0"/>
        <w:widowControl/>
        <w:suppressLineNumbers w:val="0"/>
        <w:rPr>
          <w:rFonts w:hint="eastAsia"/>
          <w:lang w:val="en-US" w:eastAsia="zh-CN"/>
        </w:rPr>
      </w:pPr>
      <w:r>
        <w:rPr>
          <w:rFonts w:hint="eastAsia"/>
          <w:lang w:val="en-US" w:eastAsia="zh-CN"/>
        </w:rPr>
        <w:t>Given the nationwide shortage of qualified public defenders, attorneys like Ms. Liu are indispensable to maintaining the integrity of the U.S. justice system.</w:t>
      </w:r>
    </w:p>
    <w:p>
      <w:pPr>
        <w:pStyle w:val="11"/>
        <w:keepNext w:val="0"/>
        <w:keepLines w:val="0"/>
        <w:widowControl/>
        <w:suppressLineNumbers w:val="0"/>
        <w:rPr>
          <w:rFonts w:hint="eastAsia"/>
          <w:lang w:val="en-US" w:eastAsia="zh-CN"/>
        </w:rPr>
      </w:pPr>
      <w:r>
        <w:rPr>
          <w:rFonts w:hint="eastAsia"/>
          <w:lang w:val="en-US" w:eastAsia="zh-CN"/>
        </w:rPr>
        <w:t>推荐信2: co-counsel</w:t>
      </w:r>
    </w:p>
    <w:p>
      <w:pPr>
        <w:pStyle w:val="11"/>
        <w:keepNext w:val="0"/>
        <w:keepLines w:val="0"/>
        <w:widowControl/>
        <w:suppressLineNumbers w:val="0"/>
        <w:rPr>
          <w:rFonts w:hint="default"/>
          <w:lang w:val="en-US" w:eastAsia="zh-CN"/>
        </w:rPr>
      </w:pPr>
      <w:r>
        <w:rPr>
          <w:rFonts w:hint="default"/>
          <w:lang w:val="en-US" w:eastAsia="zh-CN"/>
        </w:rPr>
        <w:t>I have worked alongside Ms. Liu and can attest to her exceptional legal judgment and advocacy skills.</w:t>
      </w:r>
    </w:p>
    <w:p>
      <w:pPr>
        <w:pStyle w:val="11"/>
        <w:keepNext w:val="0"/>
        <w:keepLines w:val="0"/>
        <w:widowControl/>
        <w:suppressLineNumbers w:val="0"/>
        <w:rPr>
          <w:rFonts w:hint="default"/>
          <w:lang w:val="en-US" w:eastAsia="zh-CN"/>
        </w:rPr>
      </w:pPr>
      <w:r>
        <w:rPr>
          <w:rFonts w:hint="default"/>
          <w:lang w:val="en-US" w:eastAsia="zh-CN"/>
        </w:rPr>
        <w:t>Her ability to handle a high-volume caseload while maintaining quality representation is particularly noteworthy. Her work directly contributes to reducing inequities in the justice system.</w:t>
      </w:r>
    </w:p>
    <w:p>
      <w:pPr>
        <w:pStyle w:val="11"/>
        <w:keepNext w:val="0"/>
        <w:keepLines w:val="0"/>
        <w:widowControl/>
        <w:suppressLineNumbers w:val="0"/>
        <w:rPr>
          <w:rFonts w:hint="default"/>
          <w:lang w:val="en-US" w:eastAsia="zh-CN"/>
        </w:rPr>
      </w:pPr>
      <w:r>
        <w:rPr>
          <w:rFonts w:hint="eastAsia"/>
          <w:lang w:val="en-US" w:eastAsia="zh-CN"/>
        </w:rPr>
        <w:t>推荐信3: 外部推荐人</w:t>
      </w:r>
    </w:p>
    <w:p>
      <w:pPr>
        <w:pStyle w:val="11"/>
        <w:keepNext w:val="0"/>
        <w:keepLines w:val="0"/>
        <w:widowControl/>
        <w:suppressLineNumbers w:val="0"/>
        <w:rPr>
          <w:rFonts w:hint="eastAsia"/>
          <w:lang w:val="en-US" w:eastAsia="zh-CN"/>
        </w:rPr>
      </w:pPr>
      <w:r>
        <w:rPr>
          <w:rFonts w:hint="eastAsia"/>
          <w:lang w:val="en-US" w:eastAsia="zh-CN"/>
        </w:rPr>
        <w:t>Although I have not worked directly with Ms. Liu, I am familiar with her work and its significance.</w:t>
      </w:r>
    </w:p>
    <w:p>
      <w:pPr>
        <w:pStyle w:val="11"/>
        <w:keepNext w:val="0"/>
        <w:keepLines w:val="0"/>
        <w:widowControl/>
        <w:suppressLineNumbers w:val="0"/>
        <w:rPr>
          <w:rFonts w:hint="eastAsia"/>
          <w:lang w:val="en-US" w:eastAsia="zh-CN"/>
        </w:rPr>
      </w:pPr>
      <w:r>
        <w:rPr>
          <w:rFonts w:hint="eastAsia"/>
          <w:lang w:val="en-US" w:eastAsia="zh-CN"/>
        </w:rPr>
        <w:t>Public defender systems across the United States are under severe strain, and attorneys who can effectively manage high caseloads while ensuring constitutional protections are of national importance.</w:t>
      </w:r>
    </w:p>
    <w:p>
      <w:pPr>
        <w:pStyle w:val="11"/>
        <w:keepNext w:val="0"/>
        <w:keepLines w:val="0"/>
        <w:widowControl/>
        <w:suppressLineNumbers w:val="0"/>
        <w:rPr>
          <w:rFonts w:hint="default"/>
          <w:lang w:val="en-US" w:eastAsia="zh-CN"/>
        </w:rPr>
      </w:pPr>
      <w:r>
        <w:rPr>
          <w:rFonts w:hint="eastAsia"/>
          <w:lang w:val="en-US" w:eastAsia="zh-CN"/>
        </w:rPr>
        <w:t>推荐信4: 教授1</w:t>
      </w:r>
    </w:p>
    <w:p>
      <w:pPr>
        <w:pStyle w:val="11"/>
        <w:keepNext w:val="0"/>
        <w:keepLines w:val="0"/>
        <w:widowControl/>
        <w:suppressLineNumbers w:val="0"/>
        <w:rPr>
          <w:rFonts w:hint="default"/>
          <w:lang w:val="en-US" w:eastAsia="zh-CN"/>
        </w:rPr>
      </w:pPr>
      <w:r>
        <w:rPr>
          <w:rFonts w:hint="default"/>
          <w:lang w:val="en-US" w:eastAsia="zh-CN"/>
        </w:rPr>
        <w:t>Ms. Liu’s work aligns with broader national efforts to address systemic inequities in access to justice.</w:t>
      </w:r>
    </w:p>
    <w:p>
      <w:pPr>
        <w:pStyle w:val="11"/>
        <w:keepNext w:val="0"/>
        <w:keepLines w:val="0"/>
        <w:widowControl/>
        <w:suppressLineNumbers w:val="0"/>
        <w:rPr>
          <w:rFonts w:hint="default"/>
          <w:lang w:val="en-US" w:eastAsia="zh-CN"/>
        </w:rPr>
      </w:pPr>
      <w:r>
        <w:rPr>
          <w:rFonts w:hint="default"/>
          <w:lang w:val="en-US" w:eastAsia="zh-CN"/>
        </w:rPr>
        <w:t>Her focus on misdemeanor-level defense is particularly significant, as these cases often produce long-term consequences that disproportionately affect vulnerable populations.</w:t>
      </w:r>
    </w:p>
    <w:p>
      <w:pPr>
        <w:pStyle w:val="11"/>
        <w:keepNext w:val="0"/>
        <w:keepLines w:val="0"/>
        <w:widowControl/>
        <w:suppressLineNumbers w:val="0"/>
        <w:rPr>
          <w:rFonts w:hint="default"/>
          <w:lang w:val="en-US" w:eastAsia="zh-CN"/>
        </w:rPr>
      </w:pPr>
      <w:r>
        <w:rPr>
          <w:rFonts w:hint="eastAsia"/>
          <w:lang w:val="en-US" w:eastAsia="zh-CN"/>
        </w:rPr>
        <w:t>推荐信5:教授2</w:t>
      </w:r>
    </w:p>
    <w:p>
      <w:pPr>
        <w:pStyle w:val="11"/>
        <w:keepNext w:val="0"/>
        <w:keepLines w:val="0"/>
        <w:widowControl/>
        <w:suppressLineNumbers w:val="0"/>
        <w:rPr>
          <w:rFonts w:hint="default"/>
          <w:lang w:val="en-US" w:eastAsia="zh-CN"/>
        </w:rPr>
      </w:pPr>
      <w:r>
        <w:rPr>
          <w:rFonts w:hint="eastAsia"/>
          <w:lang w:val="en-US" w:eastAsia="zh-CN"/>
        </w:rPr>
        <w:t>推荐信6: 法官1</w:t>
      </w:r>
    </w:p>
    <w:p>
      <w:pPr>
        <w:pStyle w:val="11"/>
        <w:keepNext w:val="0"/>
        <w:keepLines w:val="0"/>
        <w:widowControl/>
        <w:suppressLineNumbers w:val="0"/>
        <w:rPr>
          <w:rFonts w:hint="default"/>
          <w:lang w:val="en-US" w:eastAsia="zh-CN"/>
        </w:rPr>
      </w:pPr>
      <w:r>
        <w:rPr>
          <w:rFonts w:hint="default"/>
          <w:lang w:val="en-US" w:eastAsia="zh-CN"/>
        </w:rPr>
        <w:t>Ms. Liu demonstrates a deep commitment to public service and the protection of fundamental rights.</w:t>
      </w:r>
    </w:p>
    <w:p>
      <w:pPr>
        <w:pStyle w:val="11"/>
        <w:keepNext w:val="0"/>
        <w:keepLines w:val="0"/>
        <w:widowControl/>
        <w:suppressLineNumbers w:val="0"/>
        <w:rPr>
          <w:rFonts w:hint="default"/>
          <w:lang w:val="en-US" w:eastAsia="zh-CN"/>
        </w:rPr>
      </w:pPr>
      <w:r>
        <w:rPr>
          <w:rFonts w:hint="default"/>
          <w:lang w:val="en-US" w:eastAsia="zh-CN"/>
        </w:rPr>
        <w:t>Her work ensures that individuals who would otherwise lack access to legal representation receive fair treatment under the law.</w:t>
      </w:r>
    </w:p>
    <w:p>
      <w:pPr>
        <w:pStyle w:val="11"/>
        <w:keepNext w:val="0"/>
        <w:keepLines w:val="0"/>
        <w:widowControl/>
        <w:suppressLineNumbers w:val="0"/>
        <w:rPr>
          <w:rFonts w:hint="default"/>
          <w:lang w:val="en-US" w:eastAsia="zh-CN"/>
        </w:rPr>
      </w:pPr>
      <w:r>
        <w:rPr>
          <w:rFonts w:hint="eastAsia"/>
          <w:lang w:val="en-US" w:eastAsia="zh-CN"/>
        </w:rPr>
        <w:t>推荐信7: 法官2</w:t>
      </w:r>
    </w:p>
    <w:p>
      <w:pPr>
        <w:pStyle w:val="11"/>
        <w:keepNext w:val="0"/>
        <w:keepLines w:val="0"/>
        <w:widowControl/>
        <w:suppressLineNumbers w:val="0"/>
        <w:rPr>
          <w:rFonts w:hint="eastAsia"/>
          <w:lang w:val="en-US" w:eastAsia="zh-CN"/>
        </w:rPr>
      </w:pPr>
      <w:r>
        <w:rPr>
          <w:rFonts w:hint="eastAsia"/>
          <w:lang w:val="en-US" w:eastAsia="zh-CN"/>
        </w:rPr>
        <w:t>推荐信8: 检察官</w:t>
      </w:r>
    </w:p>
    <w:p>
      <w:pPr>
        <w:pStyle w:val="11"/>
        <w:keepNext w:val="0"/>
        <w:keepLines w:val="0"/>
        <w:widowControl/>
        <w:suppressLineNumbers w:val="0"/>
        <w:rPr>
          <w:rFonts w:hint="default"/>
          <w:b/>
          <w:bCs/>
          <w:lang w:val="en-US" w:eastAsia="zh-CN"/>
        </w:rPr>
      </w:pPr>
      <w:r>
        <w:rPr>
          <w:rFonts w:hint="default"/>
          <w:b/>
          <w:bCs/>
          <w:lang w:val="en-US" w:eastAsia="zh-CN"/>
        </w:rPr>
        <w:t>Exhibit 12:</w:t>
      </w:r>
    </w:p>
    <w:p>
      <w:pPr>
        <w:pStyle w:val="11"/>
        <w:keepNext w:val="0"/>
        <w:keepLines w:val="0"/>
        <w:widowControl/>
        <w:suppressLineNumbers w:val="0"/>
        <w:rPr>
          <w:rFonts w:hint="default"/>
          <w:lang w:val="en-US" w:eastAsia="zh-CN"/>
        </w:rPr>
      </w:pPr>
      <w:r>
        <w:rPr>
          <w:rFonts w:hint="default"/>
          <w:lang w:val="en-US" w:eastAsia="zh-CN"/>
        </w:rPr>
        <w:t>Case Title: Domestic Violence Assault Charge – Dismissal</w:t>
      </w:r>
    </w:p>
    <w:p>
      <w:pPr>
        <w:pStyle w:val="11"/>
        <w:keepNext w:val="0"/>
        <w:keepLines w:val="0"/>
        <w:widowControl/>
        <w:suppressLineNumbers w:val="0"/>
        <w:rPr>
          <w:rFonts w:hint="default"/>
          <w:lang w:val="en-US" w:eastAsia="zh-CN"/>
        </w:rPr>
      </w:pPr>
      <w:r>
        <w:rPr>
          <w:rFonts w:hint="default"/>
          <w:lang w:val="en-US" w:eastAsia="zh-CN"/>
        </w:rPr>
        <w:t>Charge(s): Assault (Domestic Violence designation)</w:t>
      </w:r>
    </w:p>
    <w:p>
      <w:pPr>
        <w:pStyle w:val="11"/>
        <w:keepNext w:val="0"/>
        <w:keepLines w:val="0"/>
        <w:widowControl/>
        <w:suppressLineNumbers w:val="0"/>
        <w:rPr>
          <w:rFonts w:hint="default"/>
          <w:lang w:val="en-US" w:eastAsia="zh-CN"/>
        </w:rPr>
      </w:pPr>
      <w:r>
        <w:rPr>
          <w:rFonts w:hint="default"/>
          <w:lang w:val="en-US" w:eastAsia="zh-CN"/>
        </w:rPr>
        <w:t>Procedural Posture: The case was initially charged with a domestic violence designation, and the prosecution offered a plea agreement involving long-term probation monitoring, mandatory treatment, and a no-contact order.</w:t>
      </w:r>
    </w:p>
    <w:p>
      <w:pPr>
        <w:pStyle w:val="11"/>
        <w:keepNext w:val="0"/>
        <w:keepLines w:val="0"/>
        <w:widowControl/>
        <w:suppressLineNumbers w:val="0"/>
        <w:rPr>
          <w:rFonts w:hint="default"/>
          <w:lang w:val="en-US" w:eastAsia="zh-CN"/>
        </w:rPr>
      </w:pPr>
      <w:r>
        <w:rPr>
          <w:rFonts w:hint="default"/>
          <w:lang w:val="en-US" w:eastAsia="zh-CN"/>
        </w:rPr>
        <w:t>Key Legal Issues: The case involved questions regarding the sufficiency and credibility of the evidence, particularly in light of conflicting statements and the circumstances surrounding the incident.</w:t>
      </w:r>
    </w:p>
    <w:p>
      <w:pPr>
        <w:pStyle w:val="11"/>
        <w:keepNext w:val="0"/>
        <w:keepLines w:val="0"/>
        <w:widowControl/>
        <w:suppressLineNumbers w:val="0"/>
        <w:rPr>
          <w:rFonts w:hint="default"/>
          <w:lang w:val="en-US" w:eastAsia="zh-CN"/>
        </w:rPr>
      </w:pPr>
      <w:r>
        <w:rPr>
          <w:rFonts w:hint="default"/>
          <w:lang w:val="en-US" w:eastAsia="zh-CN"/>
        </w:rPr>
        <w:t>Advocacy and Strategy: Ms. Liu conducted a detailed review of discovery materials, including witness statements and evidentiary records. She identified weaknesses in the prosecution’s case, including issues related to evidentiary consistency and the reliability of testimony. Based on this analysis, she advised against accepting the plea offer and pursued a defense strategy challenging the sufficiency of the evidence.</w:t>
      </w:r>
    </w:p>
    <w:p>
      <w:pPr>
        <w:pStyle w:val="11"/>
        <w:keepNext w:val="0"/>
        <w:keepLines w:val="0"/>
        <w:widowControl/>
        <w:suppressLineNumbers w:val="0"/>
        <w:rPr>
          <w:rFonts w:hint="default"/>
          <w:lang w:val="en-US" w:eastAsia="zh-CN"/>
        </w:rPr>
      </w:pPr>
      <w:r>
        <w:rPr>
          <w:rFonts w:hint="default"/>
          <w:lang w:val="en-US" w:eastAsia="zh-CN"/>
        </w:rPr>
        <w:t>Outcome: The prosecution ultimately dismissed the charge.</w:t>
      </w:r>
    </w:p>
    <w:p>
      <w:pPr>
        <w:pStyle w:val="11"/>
        <w:keepNext w:val="0"/>
        <w:keepLines w:val="0"/>
        <w:widowControl/>
        <w:suppressLineNumbers w:val="0"/>
        <w:rPr>
          <w:rFonts w:hint="default"/>
          <w:lang w:val="en-US" w:eastAsia="zh-CN"/>
        </w:rPr>
      </w:pPr>
      <w:r>
        <w:rPr>
          <w:rFonts w:hint="default"/>
          <w:lang w:val="en-US" w:eastAsia="zh-CN"/>
        </w:rPr>
        <w:t>Significance: This case demonstrates Ms. Liu’s ability to conduct thorough evidentiary analysis, exercise sound legal judgment under pressure, and secure outcomes that eliminate significant legal and collateral consequences for her client.</w:t>
      </w:r>
    </w:p>
    <w:p>
      <w:pPr>
        <w:pStyle w:val="11"/>
        <w:keepNext w:val="0"/>
        <w:keepLines w:val="0"/>
        <w:widowControl/>
        <w:suppressLineNumbers w:val="0"/>
        <w:rPr>
          <w:rFonts w:hint="default"/>
          <w:b/>
          <w:bCs/>
          <w:lang w:val="en-US" w:eastAsia="zh-CN"/>
        </w:rPr>
      </w:pPr>
      <w:r>
        <w:rPr>
          <w:rFonts w:hint="default"/>
          <w:b/>
          <w:bCs/>
          <w:lang w:val="en-US" w:eastAsia="zh-CN"/>
        </w:rPr>
        <w:t>Exhibit 13:</w:t>
      </w:r>
    </w:p>
    <w:p>
      <w:pPr>
        <w:pStyle w:val="11"/>
        <w:keepNext w:val="0"/>
        <w:keepLines w:val="0"/>
        <w:widowControl/>
        <w:suppressLineNumbers w:val="0"/>
        <w:rPr>
          <w:rFonts w:hint="default"/>
          <w:lang w:val="en-US" w:eastAsia="zh-CN"/>
        </w:rPr>
      </w:pPr>
      <w:r>
        <w:rPr>
          <w:rFonts w:hint="default"/>
          <w:lang w:val="en-US" w:eastAsia="zh-CN"/>
        </w:rPr>
        <w:t>Case Title: Theft in the Third Degree – Dismissal</w:t>
      </w:r>
    </w:p>
    <w:p>
      <w:pPr>
        <w:pStyle w:val="11"/>
        <w:keepNext w:val="0"/>
        <w:keepLines w:val="0"/>
        <w:widowControl/>
        <w:suppressLineNumbers w:val="0"/>
        <w:rPr>
          <w:rFonts w:hint="default"/>
          <w:lang w:val="en-US" w:eastAsia="zh-CN"/>
        </w:rPr>
      </w:pPr>
      <w:r>
        <w:rPr>
          <w:rFonts w:hint="default"/>
          <w:lang w:val="en-US" w:eastAsia="zh-CN"/>
        </w:rPr>
        <w:t>Charge(s): Theft in the Third Degree</w:t>
      </w:r>
    </w:p>
    <w:p>
      <w:pPr>
        <w:pStyle w:val="11"/>
        <w:keepNext w:val="0"/>
        <w:keepLines w:val="0"/>
        <w:widowControl/>
        <w:suppressLineNumbers w:val="0"/>
        <w:rPr>
          <w:rFonts w:hint="default"/>
          <w:lang w:val="en-US" w:eastAsia="zh-CN"/>
        </w:rPr>
      </w:pPr>
      <w:r>
        <w:rPr>
          <w:rFonts w:hint="default"/>
          <w:lang w:val="en-US" w:eastAsia="zh-CN"/>
        </w:rPr>
        <w:t>Procedural Posture: The case involved allegations that the client unlawfully took property belonging to another individual.</w:t>
      </w:r>
    </w:p>
    <w:p>
      <w:pPr>
        <w:pStyle w:val="11"/>
        <w:keepNext w:val="0"/>
        <w:keepLines w:val="0"/>
        <w:widowControl/>
        <w:suppressLineNumbers w:val="0"/>
        <w:rPr>
          <w:rFonts w:hint="default"/>
          <w:lang w:val="en-US" w:eastAsia="zh-CN"/>
        </w:rPr>
      </w:pPr>
      <w:r>
        <w:rPr>
          <w:rFonts w:hint="default"/>
          <w:lang w:val="en-US" w:eastAsia="zh-CN"/>
        </w:rPr>
        <w:t>Key Legal Issues: The central issue was whether the facts satisfied the statutory elements required to establish the charged offense.</w:t>
      </w:r>
    </w:p>
    <w:p>
      <w:pPr>
        <w:pStyle w:val="11"/>
        <w:keepNext w:val="0"/>
        <w:keepLines w:val="0"/>
        <w:widowControl/>
        <w:suppressLineNumbers w:val="0"/>
        <w:rPr>
          <w:rFonts w:hint="default"/>
          <w:lang w:val="en-US" w:eastAsia="zh-CN"/>
        </w:rPr>
      </w:pPr>
      <w:r>
        <w:rPr>
          <w:rFonts w:hint="default"/>
          <w:lang w:val="en-US" w:eastAsia="zh-CN"/>
        </w:rPr>
        <w:t>Advocacy and Strategy: Ms. Liu conducted a structured, element-by-element legal analysis of the applicable statute and compared it against the factual record. She identified that the available evidence did not meet the required legal threshold to establish all elements of the offense.</w:t>
      </w:r>
    </w:p>
    <w:p>
      <w:pPr>
        <w:pStyle w:val="11"/>
        <w:keepNext w:val="0"/>
        <w:keepLines w:val="0"/>
        <w:widowControl/>
        <w:suppressLineNumbers w:val="0"/>
        <w:rPr>
          <w:rFonts w:hint="default"/>
          <w:lang w:val="en-US" w:eastAsia="zh-CN"/>
        </w:rPr>
      </w:pPr>
      <w:r>
        <w:rPr>
          <w:rFonts w:hint="default"/>
          <w:lang w:val="en-US" w:eastAsia="zh-CN"/>
        </w:rPr>
        <w:t>Outcome: The charge was dismissed.</w:t>
      </w:r>
    </w:p>
    <w:p>
      <w:pPr>
        <w:pStyle w:val="11"/>
        <w:keepNext w:val="0"/>
        <w:keepLines w:val="0"/>
        <w:widowControl/>
        <w:suppressLineNumbers w:val="0"/>
        <w:rPr>
          <w:rFonts w:hint="default"/>
          <w:lang w:val="en-US" w:eastAsia="zh-CN"/>
        </w:rPr>
      </w:pPr>
      <w:r>
        <w:rPr>
          <w:rFonts w:hint="default"/>
          <w:lang w:val="en-US" w:eastAsia="zh-CN"/>
        </w:rPr>
        <w:t>Significance: This case highlights Ms. Liu’s ability to apply precise statutory interpretation and legal reasoning to efficiently resolve cases, thereby preventing unwarranted criminal liability.</w:t>
      </w:r>
    </w:p>
    <w:p>
      <w:pPr>
        <w:pStyle w:val="11"/>
        <w:keepNext w:val="0"/>
        <w:keepLines w:val="0"/>
        <w:widowControl/>
        <w:suppressLineNumbers w:val="0"/>
        <w:rPr>
          <w:rFonts w:hint="default"/>
          <w:b/>
          <w:bCs/>
          <w:lang w:val="en-US" w:eastAsia="zh-CN"/>
        </w:rPr>
      </w:pPr>
      <w:r>
        <w:rPr>
          <w:rFonts w:hint="default"/>
          <w:b/>
          <w:bCs/>
          <w:lang w:val="en-US" w:eastAsia="zh-CN"/>
        </w:rPr>
        <w:t>Exhibit 14:</w:t>
      </w:r>
    </w:p>
    <w:p>
      <w:pPr>
        <w:pStyle w:val="11"/>
        <w:keepNext w:val="0"/>
        <w:keepLines w:val="0"/>
        <w:widowControl/>
        <w:suppressLineNumbers w:val="0"/>
        <w:rPr>
          <w:rFonts w:hint="default"/>
          <w:lang w:val="en-US" w:eastAsia="zh-CN"/>
        </w:rPr>
      </w:pPr>
      <w:r>
        <w:rPr>
          <w:rFonts w:hint="default"/>
          <w:lang w:val="en-US" w:eastAsia="zh-CN"/>
        </w:rPr>
        <w:t>Case Title: Multi-Count Felony Case – Jury Trial Representation</w:t>
      </w:r>
    </w:p>
    <w:p>
      <w:pPr>
        <w:pStyle w:val="11"/>
        <w:keepNext w:val="0"/>
        <w:keepLines w:val="0"/>
        <w:widowControl/>
        <w:suppressLineNumbers w:val="0"/>
        <w:rPr>
          <w:rFonts w:hint="default"/>
          <w:lang w:val="en-US" w:eastAsia="zh-CN"/>
        </w:rPr>
      </w:pPr>
      <w:r>
        <w:rPr>
          <w:rFonts w:hint="default"/>
          <w:lang w:val="en-US" w:eastAsia="zh-CN"/>
        </w:rPr>
        <w:t>Charge(s): Multiple felony charges, including controlled substance-related offenses, obstruction, and attempting to elude law enforcement</w:t>
      </w:r>
    </w:p>
    <w:p>
      <w:pPr>
        <w:pStyle w:val="11"/>
        <w:keepNext w:val="0"/>
        <w:keepLines w:val="0"/>
        <w:widowControl/>
        <w:suppressLineNumbers w:val="0"/>
        <w:rPr>
          <w:rFonts w:hint="default"/>
          <w:lang w:val="en-US" w:eastAsia="zh-CN"/>
        </w:rPr>
      </w:pPr>
      <w:r>
        <w:rPr>
          <w:rFonts w:hint="default"/>
          <w:lang w:val="en-US" w:eastAsia="zh-CN"/>
        </w:rPr>
        <w:t>Procedural Posture: The case proceeded through extensive pretrial negotiations but was ultimately set for jury trial due to the inability to reach an acceptable resolution.</w:t>
      </w:r>
    </w:p>
    <w:p>
      <w:pPr>
        <w:pStyle w:val="11"/>
        <w:keepNext w:val="0"/>
        <w:keepLines w:val="0"/>
        <w:widowControl/>
        <w:suppressLineNumbers w:val="0"/>
        <w:rPr>
          <w:rFonts w:hint="default"/>
          <w:lang w:val="en-US" w:eastAsia="zh-CN"/>
        </w:rPr>
      </w:pPr>
      <w:r>
        <w:rPr>
          <w:rFonts w:hint="default"/>
          <w:lang w:val="en-US" w:eastAsia="zh-CN"/>
        </w:rPr>
        <w:t>Key Legal Issues: The case involved multiple charges requiring careful evaluation of evidentiary admissibility, witness credibility, and procedural safeguards.</w:t>
      </w:r>
    </w:p>
    <w:p>
      <w:pPr>
        <w:pStyle w:val="11"/>
        <w:keepNext w:val="0"/>
        <w:keepLines w:val="0"/>
        <w:widowControl/>
        <w:suppressLineNumbers w:val="0"/>
        <w:rPr>
          <w:rFonts w:hint="default"/>
          <w:lang w:val="en-US" w:eastAsia="zh-CN"/>
        </w:rPr>
      </w:pPr>
      <w:r>
        <w:rPr>
          <w:rFonts w:hint="default"/>
          <w:lang w:val="en-US" w:eastAsia="zh-CN"/>
        </w:rPr>
        <w:t>Advocacy and Strategy: Ms. Liu engaged in comprehensive trial preparation, including development of voir dire strategy, preparation for direct and cross-examination of witnesses, evidentiary motions and objections, and formulation of opening and closing arguments. She actively represented the client throughout a multi-day jury trial.</w:t>
      </w:r>
    </w:p>
    <w:p>
      <w:pPr>
        <w:pStyle w:val="11"/>
        <w:keepNext w:val="0"/>
        <w:keepLines w:val="0"/>
        <w:widowControl/>
        <w:suppressLineNumbers w:val="0"/>
        <w:rPr>
          <w:rFonts w:hint="default"/>
          <w:lang w:val="en-US" w:eastAsia="zh-CN"/>
        </w:rPr>
      </w:pPr>
      <w:r>
        <w:rPr>
          <w:rFonts w:hint="default"/>
          <w:lang w:val="en-US" w:eastAsia="zh-CN"/>
        </w:rPr>
        <w:t>Outcome: The jury returned a favorable outcome for the client.</w:t>
      </w:r>
    </w:p>
    <w:p>
      <w:pPr>
        <w:pStyle w:val="11"/>
        <w:keepNext w:val="0"/>
        <w:keepLines w:val="0"/>
        <w:widowControl/>
        <w:suppressLineNumbers w:val="0"/>
        <w:rPr>
          <w:rFonts w:hint="default"/>
          <w:lang w:val="en-US" w:eastAsia="zh-CN"/>
        </w:rPr>
      </w:pPr>
      <w:r>
        <w:rPr>
          <w:rFonts w:hint="default"/>
          <w:lang w:val="en-US" w:eastAsia="zh-CN"/>
        </w:rPr>
        <w:t>Significance: This case demonstrates Ms. Liu’s ability to handle complex, high-stakes litigation, effectively navigate trial procedures, and safeguard her client’s constitutional rights through the adversarial process.</w:t>
      </w:r>
    </w:p>
    <w:p>
      <w:pPr>
        <w:pStyle w:val="11"/>
        <w:keepNext w:val="0"/>
        <w:keepLines w:val="0"/>
        <w:widowControl/>
        <w:suppressLineNumbers w:val="0"/>
        <w:rPr>
          <w:rFonts w:hint="default"/>
          <w:lang w:val="en-US" w:eastAsia="zh-CN"/>
        </w:rPr>
      </w:pPr>
    </w:p>
    <w:p>
      <w:pPr>
        <w:pStyle w:val="11"/>
        <w:keepNext w:val="0"/>
        <w:keepLines w:val="0"/>
        <w:widowControl/>
        <w:suppressLineNumbers w:val="0"/>
        <w:rPr>
          <w:rFonts w:hint="default"/>
          <w:lang w:val="en-US" w:eastAsia="zh-CN"/>
        </w:rPr>
      </w:pPr>
    </w:p>
    <w:p>
      <w:pPr>
        <w:pStyle w:val="11"/>
        <w:keepNext w:val="0"/>
        <w:keepLines w:val="0"/>
        <w:widowControl/>
        <w:suppressLineNumbers w:val="0"/>
        <w:rPr>
          <w:rFonts w:hint="default"/>
          <w:lang w:val="en-US" w:eastAsia="zh-CN"/>
        </w:rPr>
      </w:pPr>
    </w:p>
    <w:p>
      <w:pPr>
        <w:pStyle w:val="11"/>
        <w:keepNext w:val="0"/>
        <w:keepLines w:val="0"/>
        <w:widowControl/>
        <w:suppressLineNumbers w:val="0"/>
        <w:rPr>
          <w:rFonts w:hint="default"/>
          <w:lang w:val="en-US" w:eastAsia="zh-CN"/>
        </w:rPr>
      </w:pPr>
      <w:r>
        <w:rPr>
          <w:rFonts w:hint="eastAsia" w:ascii="Times New Roman Italic" w:hAnsi="Times New Roman Italic" w:cs="Times New Roman Italic"/>
          <w:b w:val="0"/>
          <w:bCs w:val="0"/>
          <w:i/>
          <w:iCs/>
          <w:sz w:val="24"/>
          <w:szCs w:val="24"/>
          <w:lang w:val="en-US" w:eastAsia="zh-CN"/>
        </w:rPr>
        <w:t>从之前内容删减的，已经找到相关证据的：</w:t>
      </w:r>
      <w:r>
        <w:rPr>
          <w:rFonts w:hint="default" w:ascii="Times New Roman Italic" w:hAnsi="Times New Roman Italic" w:cs="Times New Roman Italic"/>
          <w:b w:val="0"/>
          <w:bCs w:val="0"/>
          <w:i/>
          <w:iCs/>
          <w:sz w:val="24"/>
          <w:szCs w:val="24"/>
          <w:lang w:val="en-US" w:eastAsia="zh-CN"/>
        </w:rPr>
        <w:t>Today, there are thousands of public defenders and private lawyers engaged in providing legal representation to persons unable to afford a reasonable attorney’s fee and thus unable to retain private counsel.</w:t>
      </w:r>
      <w:r>
        <w:rPr>
          <w:rFonts w:hint="default" w:ascii="Times New Roman Regular" w:hAnsi="Times New Roman Regular"/>
          <w:b w:val="0"/>
          <w:bCs w:val="0"/>
          <w:sz w:val="24"/>
          <w:szCs w:val="24"/>
          <w:lang w:val="en-US" w:eastAsia="zh-CN"/>
        </w:rPr>
        <w: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PMingLiU">
    <w:altName w:val="宋体-繁"/>
    <w:panose1 w:val="02020500000000000000"/>
    <w:charset w:val="88"/>
    <w:family w:val="roman"/>
    <w:pitch w:val="default"/>
    <w:sig w:usb0="00000000" w:usb1="00000000" w:usb2="00000016" w:usb3="00000000" w:csb0="00100001" w:csb1="00000000"/>
  </w:font>
  <w:font w:name="宋体-繁">
    <w:panose1 w:val="02010600040101010101"/>
    <w:charset w:val="86"/>
    <w:family w:val="auto"/>
    <w:pitch w:val="default"/>
    <w:sig w:usb0="00000000" w:usb1="00000000" w:usb2="00000000" w:usb3="00000000" w:csb0="00160000" w:csb1="00000000"/>
  </w:font>
  <w:font w:name="Times New Roman Regular">
    <w:panose1 w:val="02020603050405020304"/>
    <w:charset w:val="00"/>
    <w:family w:val="auto"/>
    <w:pitch w:val="default"/>
    <w:sig w:usb0="00000000" w:usb1="00000000" w:usb2="00000000" w:usb3="00000000" w:csb0="00000000" w:csb1="00000000"/>
  </w:font>
  <w:font w:name="Times New Roman Italic">
    <w:panose1 w:val="02020603050405020304"/>
    <w:charset w:val="00"/>
    <w:family w:val="auto"/>
    <w:pitch w:val="default"/>
    <w:sig w:usb0="00000000" w:usb1="00000000" w:usb2="00000000" w:usb3="00000000" w:csb0="00000000" w:csb1="00000000"/>
  </w:font>
  <w:font w:name="Times New Roman Bold">
    <w:panose1 w:val="02020603050405020304"/>
    <w:charset w:val="00"/>
    <w:family w:val="auto"/>
    <w:pitch w:val="default"/>
    <w:sig w:usb0="00000000" w:usb1="00000000" w:usb2="00000000" w:usb3="00000000" w:csb0="00000000" w:csb1="00000000"/>
  </w:font>
  <w:font w:name="Times New Roman Bold Italic">
    <w:panose1 w:val="02020603050405020304"/>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 w:name="Hiragino Sans CNS">
    <w:panose1 w:val="020B0300000000000000"/>
    <w:charset w:val="86"/>
    <w:family w:val="auto"/>
    <w:pitch w:val="default"/>
    <w:sig w:usb0="00000000" w:usb1="00000000" w:usb2="00000000" w:usb3="00000000" w:csb0="0016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FFC300"/>
    <w:multiLevelType w:val="multilevel"/>
    <w:tmpl w:val="97FFC300"/>
    <w:lvl w:ilvl="0" w:tentative="0">
      <w:start w:val="1"/>
      <w:numFmt w:val="bullet"/>
      <w:lvlText w:val=""/>
      <w:lvlJc w:val="left"/>
      <w:pPr>
        <w:tabs>
          <w:tab w:val="left" w:pos="720"/>
        </w:tabs>
        <w:ind w:left="720" w:firstLine="0"/>
      </w:pPr>
      <w:rPr>
        <w:rFonts w:ascii="Symbol" w:hAnsi="Symbol" w:cs="Symbol"/>
        <w:sz w:val="20"/>
      </w:rPr>
    </w:lvl>
    <w:lvl w:ilvl="1" w:tentative="0">
      <w:start w:val="1"/>
      <w:numFmt w:val="bullet"/>
      <w:lvlText w:val="o"/>
      <w:lvlJc w:val="left"/>
      <w:pPr>
        <w:tabs>
          <w:tab w:val="left" w:pos="1440"/>
        </w:tabs>
        <w:ind w:left="1440" w:firstLine="0"/>
      </w:pPr>
      <w:rPr>
        <w:rFonts w:ascii="Courier New" w:hAnsi="Courier New" w:cs="Courier New"/>
        <w:sz w:val="20"/>
      </w:rPr>
    </w:lvl>
    <w:lvl w:ilvl="2" w:tentative="0">
      <w:start w:val="1"/>
      <w:numFmt w:val="bullet"/>
      <w:lvlText w:val=""/>
      <w:lvlJc w:val="left"/>
      <w:pPr>
        <w:tabs>
          <w:tab w:val="left" w:pos="2160"/>
        </w:tabs>
        <w:ind w:left="2160" w:firstLine="0"/>
      </w:pPr>
      <w:rPr>
        <w:rFonts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1">
    <w:nsid w:val="A6DF5965"/>
    <w:multiLevelType w:val="singleLevel"/>
    <w:tmpl w:val="A6DF5965"/>
    <w:lvl w:ilvl="0" w:tentative="0">
      <w:start w:val="4"/>
      <w:numFmt w:val="decimal"/>
      <w:suff w:val="space"/>
      <w:lvlText w:val="%1."/>
      <w:lvlJc w:val="left"/>
    </w:lvl>
  </w:abstractNum>
  <w:abstractNum w:abstractNumId="2">
    <w:nsid w:val="BB7A9942"/>
    <w:multiLevelType w:val="multilevel"/>
    <w:tmpl w:val="BB7A9942"/>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3">
    <w:nsid w:val="CF3E5F67"/>
    <w:multiLevelType w:val="multilevel"/>
    <w:tmpl w:val="CF3E5F67"/>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4">
    <w:nsid w:val="DFC6D29D"/>
    <w:multiLevelType w:val="singleLevel"/>
    <w:tmpl w:val="DFC6D29D"/>
    <w:lvl w:ilvl="0" w:tentative="0">
      <w:start w:val="1"/>
      <w:numFmt w:val="lowerLetter"/>
      <w:suff w:val="space"/>
      <w:lvlText w:val="(%1)"/>
      <w:lvlJc w:val="left"/>
    </w:lvl>
  </w:abstractNum>
  <w:abstractNum w:abstractNumId="5">
    <w:nsid w:val="E6FE9E35"/>
    <w:multiLevelType w:val="multilevel"/>
    <w:tmpl w:val="E6FE9E35"/>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6">
    <w:nsid w:val="E9FB4999"/>
    <w:multiLevelType w:val="multilevel"/>
    <w:tmpl w:val="E9FB4999"/>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7">
    <w:nsid w:val="EFB23D51"/>
    <w:multiLevelType w:val="singleLevel"/>
    <w:tmpl w:val="EFB23D51"/>
    <w:lvl w:ilvl="0" w:tentative="0">
      <w:start w:val="3"/>
      <w:numFmt w:val="upperLetter"/>
      <w:suff w:val="space"/>
      <w:lvlText w:val="%1."/>
      <w:lvlJc w:val="left"/>
    </w:lvl>
  </w:abstractNum>
  <w:abstractNum w:abstractNumId="8">
    <w:nsid w:val="F5BE2FB0"/>
    <w:multiLevelType w:val="singleLevel"/>
    <w:tmpl w:val="F5BE2FB0"/>
    <w:lvl w:ilvl="0" w:tentative="0">
      <w:start w:val="1"/>
      <w:numFmt w:val="lowerLetter"/>
      <w:suff w:val="space"/>
      <w:lvlText w:val="(%1)"/>
      <w:lvlJc w:val="left"/>
    </w:lvl>
  </w:abstractNum>
  <w:abstractNum w:abstractNumId="9">
    <w:nsid w:val="F6EC3BF8"/>
    <w:multiLevelType w:val="singleLevel"/>
    <w:tmpl w:val="F6EC3BF8"/>
    <w:lvl w:ilvl="0" w:tentative="0">
      <w:start w:val="1"/>
      <w:numFmt w:val="lowerRoman"/>
      <w:suff w:val="space"/>
      <w:lvlText w:val="%1."/>
      <w:lvlJc w:val="left"/>
    </w:lvl>
  </w:abstractNum>
  <w:abstractNum w:abstractNumId="10">
    <w:nsid w:val="F9742EB0"/>
    <w:multiLevelType w:val="multilevel"/>
    <w:tmpl w:val="F9742EB0"/>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11">
    <w:nsid w:val="FAED5B6A"/>
    <w:multiLevelType w:val="singleLevel"/>
    <w:tmpl w:val="FAED5B6A"/>
    <w:lvl w:ilvl="0" w:tentative="0">
      <w:start w:val="1"/>
      <w:numFmt w:val="lowerRoman"/>
      <w:suff w:val="space"/>
      <w:lvlText w:val="%1."/>
      <w:lvlJc w:val="left"/>
    </w:lvl>
  </w:abstractNum>
  <w:abstractNum w:abstractNumId="12">
    <w:nsid w:val="FAEEE8EE"/>
    <w:multiLevelType w:val="singleLevel"/>
    <w:tmpl w:val="FAEEE8EE"/>
    <w:lvl w:ilvl="0" w:tentative="0">
      <w:start w:val="1"/>
      <w:numFmt w:val="lowerLetter"/>
      <w:suff w:val="space"/>
      <w:lvlText w:val="(%1)"/>
      <w:lvlJc w:val="left"/>
    </w:lvl>
  </w:abstractNum>
  <w:abstractNum w:abstractNumId="13">
    <w:nsid w:val="FFDA88C7"/>
    <w:multiLevelType w:val="multilevel"/>
    <w:tmpl w:val="FFDA88C7"/>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14">
    <w:nsid w:val="211D0E8B"/>
    <w:multiLevelType w:val="multilevel"/>
    <w:tmpl w:val="211D0E8B"/>
    <w:lvl w:ilvl="0" w:tentative="0">
      <w:start w:val="1"/>
      <w:numFmt w:val="upperRoman"/>
      <w:lvlText w:val="%1."/>
      <w:lvlJc w:val="left"/>
      <w:pPr>
        <w:ind w:left="36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3D7FAED0"/>
    <w:multiLevelType w:val="multilevel"/>
    <w:tmpl w:val="3D7FAED0"/>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16">
    <w:nsid w:val="543710C5"/>
    <w:multiLevelType w:val="multilevel"/>
    <w:tmpl w:val="543710C5"/>
    <w:lvl w:ilvl="0" w:tentative="0">
      <w:start w:val="1"/>
      <w:numFmt w:val="lowerLetter"/>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7">
    <w:nsid w:val="7B9B68D9"/>
    <w:multiLevelType w:val="multilevel"/>
    <w:tmpl w:val="7B9B68D9"/>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num w:numId="1">
    <w:abstractNumId w:val="16"/>
  </w:num>
  <w:num w:numId="2">
    <w:abstractNumId w:val="14"/>
  </w:num>
  <w:num w:numId="3">
    <w:abstractNumId w:val="4"/>
  </w:num>
  <w:num w:numId="4">
    <w:abstractNumId w:val="1"/>
  </w:num>
  <w:num w:numId="5">
    <w:abstractNumId w:val="8"/>
  </w:num>
  <w:num w:numId="6">
    <w:abstractNumId w:val="12"/>
  </w:num>
  <w:num w:numId="7">
    <w:abstractNumId w:val="9"/>
  </w:num>
  <w:num w:numId="8">
    <w:abstractNumId w:val="11"/>
  </w:num>
  <w:num w:numId="9">
    <w:abstractNumId w:val="7"/>
  </w:num>
  <w:num w:numId="10">
    <w:abstractNumId w:val="0"/>
  </w:num>
  <w:num w:numId="11">
    <w:abstractNumId w:val="5"/>
  </w:num>
  <w:num w:numId="12">
    <w:abstractNumId w:val="13"/>
  </w:num>
  <w:num w:numId="13">
    <w:abstractNumId w:val="10"/>
  </w:num>
  <w:num w:numId="14">
    <w:abstractNumId w:val="15"/>
  </w:num>
  <w:num w:numId="15">
    <w:abstractNumId w:val="3"/>
  </w:num>
  <w:num w:numId="16">
    <w:abstractNumId w:val="17"/>
  </w:num>
  <w:num w:numId="17">
    <w:abstractNumId w:val="2"/>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EFF00AD"/>
    <w:rsid w:val="2F378427"/>
    <w:rsid w:val="2FE71E7B"/>
    <w:rsid w:val="35F6420F"/>
    <w:rsid w:val="36AF93EB"/>
    <w:rsid w:val="36D47406"/>
    <w:rsid w:val="3BB5094F"/>
    <w:rsid w:val="3F6B4C06"/>
    <w:rsid w:val="4BFD7C47"/>
    <w:rsid w:val="57FDB9D1"/>
    <w:rsid w:val="5FF7EA3D"/>
    <w:rsid w:val="6B7D9EE5"/>
    <w:rsid w:val="6CFF2E08"/>
    <w:rsid w:val="6FBF1B16"/>
    <w:rsid w:val="6FBFC4C9"/>
    <w:rsid w:val="6FDF252E"/>
    <w:rsid w:val="780A1D52"/>
    <w:rsid w:val="7A9BE39F"/>
    <w:rsid w:val="7B7FE143"/>
    <w:rsid w:val="7BFBAA2D"/>
    <w:rsid w:val="7D5C41AB"/>
    <w:rsid w:val="7DF75598"/>
    <w:rsid w:val="7E9F67B4"/>
    <w:rsid w:val="7EDD632C"/>
    <w:rsid w:val="7FB0029B"/>
    <w:rsid w:val="7FBB2685"/>
    <w:rsid w:val="7FEF5F52"/>
    <w:rsid w:val="BEBF7616"/>
    <w:rsid w:val="BF7F5C16"/>
    <w:rsid w:val="CEFD3310"/>
    <w:rsid w:val="CEFF00AD"/>
    <w:rsid w:val="D2BB5A3A"/>
    <w:rsid w:val="D37E2153"/>
    <w:rsid w:val="D7BABFEA"/>
    <w:rsid w:val="ED3E49CB"/>
    <w:rsid w:val="EFBFE1CF"/>
    <w:rsid w:val="EFEE72BB"/>
    <w:rsid w:val="EFF5BE84"/>
    <w:rsid w:val="F4316A12"/>
    <w:rsid w:val="F4DE1047"/>
    <w:rsid w:val="F7DFC5EF"/>
    <w:rsid w:val="F7FE3966"/>
    <w:rsid w:val="FB7F3ACB"/>
    <w:rsid w:val="FBF4B7B9"/>
    <w:rsid w:val="FBFE05A1"/>
    <w:rsid w:val="FD771DF5"/>
    <w:rsid w:val="FF6DCDD2"/>
    <w:rsid w:val="FF99CB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39" w:semiHidden="0" w:name="toc 1"/>
    <w:lsdException w:uiPriority="39" w:semiHidden="0" w:name="toc 2"/>
    <w:lsdException w:unhideWhenUsed="0" w:uiPriority="0" w:semiHidden="0" w:name="toc 3"/>
    <w:lsdException w:unhideWhenUsed="0" w:uiPriority="0" w:semiHidden="0" w:name="toc 4"/>
    <w:lsdException w:uiPriority="39"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unhideWhenUsed/>
    <w:uiPriority w:val="99"/>
    <w:rPr>
      <w:color w:val="0563C1" w:themeColor="hyperlink"/>
      <w:u w:val="single"/>
      <w14:textFill>
        <w14:solidFill>
          <w14:schemeClr w14:val="hlink"/>
        </w14:solidFill>
      </w14:textFill>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paragraph" w:styleId="13">
    <w:name w:val="toc 1"/>
    <w:basedOn w:val="1"/>
    <w:next w:val="1"/>
    <w:unhideWhenUsed/>
    <w:uiPriority w:val="39"/>
    <w:pPr>
      <w:tabs>
        <w:tab w:val="left" w:pos="440"/>
        <w:tab w:val="right" w:leader="dot" w:pos="9350"/>
      </w:tabs>
      <w:spacing w:line="240" w:lineRule="auto"/>
      <w:ind w:left="720" w:hanging="720"/>
    </w:pPr>
  </w:style>
  <w:style w:type="paragraph" w:styleId="14">
    <w:name w:val="toc 2"/>
    <w:basedOn w:val="1"/>
    <w:next w:val="1"/>
    <w:unhideWhenUsed/>
    <w:uiPriority w:val="39"/>
    <w:pPr>
      <w:tabs>
        <w:tab w:val="left" w:pos="660"/>
        <w:tab w:val="right" w:leader="dot" w:pos="9350"/>
      </w:tabs>
      <w:spacing w:line="240" w:lineRule="auto"/>
      <w:ind w:left="245"/>
    </w:pPr>
  </w:style>
  <w:style w:type="paragraph" w:styleId="15">
    <w:name w:val="toc 5"/>
    <w:basedOn w:val="1"/>
    <w:next w:val="1"/>
    <w:unhideWhenUsed/>
    <w:uiPriority w:val="39"/>
    <w:pPr>
      <w:spacing w:after="100"/>
      <w:ind w:left="960"/>
    </w:pPr>
  </w:style>
  <w:style w:type="paragraph" w:customStyle="1" w:styleId="16">
    <w:name w:val="_Style 14"/>
    <w:basedOn w:val="1"/>
    <w:next w:val="1"/>
    <w:uiPriority w:val="0"/>
    <w:pPr>
      <w:pBdr>
        <w:bottom w:val="single" w:color="auto" w:sz="6" w:space="1"/>
      </w:pBdr>
      <w:jc w:val="center"/>
    </w:pPr>
    <w:rPr>
      <w:rFonts w:ascii="Arial" w:eastAsia="SimSun"/>
      <w:vanish/>
      <w:sz w:val="16"/>
    </w:rPr>
  </w:style>
  <w:style w:type="paragraph" w:customStyle="1" w:styleId="17">
    <w:name w:val="_Style 15"/>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47</TotalTime>
  <ScaleCrop>false</ScaleCrop>
  <LinksUpToDate>false</LinksUpToDate>
  <CharactersWithSpaces>0</CharactersWithSpaces>
  <Application>WPS Office_5.4.4.8063_F1E327BC-269C-435d-A152-05C5408002CA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2026-04-12T20:29:00Z</dcterms:created>
  <dc:creator>刘泽</dc:creator>
  <cp:lastModifiedBy>刘泽</cp:lastModifiedBy>
  <dcterms:modified xsi:type="dcterms:W3CDTF">2026-07-18T15:38:05Z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1033-5.4.4.8063</vt:lpwstr>
  </property>
</Properties>
</file>