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cs="Times New Roman"/>
          <w:b/>
          <w:color w:val="000000"/>
          <w:sz w:val="24"/>
        </w:rPr>
        <w:t>Grounding Is a Filter, Not a Prompt</w:t>
      </w:r>
    </w:p>
    <w:p>
      <w:pPr>
        <w:spacing w:line="480" w:lineRule="auto" w:before="0" w:after="0"/>
        <w:ind w:firstLine="0"/>
        <w:jc w:val="center"/>
      </w:pPr>
      <w:r>
        <w:rPr>
          <w:rFonts w:ascii="Times New Roman" w:hAnsi="Times New Roman" w:cs="Times New Roman"/>
          <w:b w:val="0"/>
          <w:color w:val="000000"/>
          <w:sz w:val="24"/>
        </w:rPr>
        <w:t>Pu Zeng</w:t>
      </w:r>
    </w:p>
    <w:p>
      <w:pPr>
        <w:spacing w:line="480" w:lineRule="auto" w:before="0" w:after="0"/>
        <w:ind w:firstLine="0"/>
        <w:jc w:val="center"/>
      </w:pPr>
      <w:r>
        <w:rPr>
          <w:rFonts w:ascii="Times New Roman" w:hAnsi="Times New Roman" w:cs="Times New Roman"/>
          <w:b w:val="0"/>
          <w:color w:val="000000"/>
          <w:sz w:val="24"/>
        </w:rPr>
        <w:t>Indiana Wesleyan University</w:t>
      </w:r>
    </w:p>
    <w:p>
      <w:pPr>
        <w:spacing w:line="480" w:lineRule="auto" w:before="0" w:after="0"/>
        <w:ind w:firstLine="0"/>
        <w:jc w:val="center"/>
      </w:pPr>
      <w:r>
        <w:rPr>
          <w:rFonts w:ascii="Times New Roman" w:hAnsi="Times New Roman" w:cs="Times New Roman"/>
          <w:b w:val="0"/>
          <w:color w:val="000000"/>
          <w:sz w:val="24"/>
        </w:rPr>
        <w:t>AIML-515: AI Integration Capstone</w:t>
      </w:r>
    </w:p>
    <w:p>
      <w:pPr>
        <w:spacing w:line="480" w:lineRule="auto" w:before="0" w:after="0"/>
        <w:ind w:firstLine="0"/>
        <w:jc w:val="center"/>
      </w:pPr>
      <w:r>
        <w:rPr>
          <w:rFonts w:ascii="Times New Roman" w:hAnsi="Times New Roman" w:cs="Times New Roman"/>
          <w:b w:val="0"/>
          <w:color w:val="000000"/>
          <w:sz w:val="24"/>
        </w:rPr>
        <w:t>October 19, 2026</w:t>
      </w:r>
    </w:p>
    <w:p>
      <w:pPr>
        <w:spacing w:line="480" w:lineRule="auto" w:before="0" w:after="0"/>
        <w:ind w:firstLine="720"/>
        <w:jc w:val="left"/>
      </w:pPr>
      <w:r>
        <w:rPr>
          <w:rFonts w:ascii="Times New Roman" w:hAnsi="Times New Roman" w:cs="Times New Roman"/>
          <w:b w:val="0"/>
          <w:color w:val="000000"/>
          <w:sz w:val="24"/>
        </w:rPr>
        <w:t>Workshops 1 through 6 moved me from a single-file clinical prototype to a second application whose limits are enforced in code. StudyCite, the clinical-trial assistant, is published at main.d18cernwuahm9n.amplifyapp.com. It began as TrialLens AI. BiteWise, the meal assistant, is public at bitewise-ai.ai.studio. The useful change was not a longer prompt. It was deciding, before the model runs, which records it is allowed to see.</w:t>
      </w:r>
    </w:p>
    <w:p>
      <w:pPr>
        <w:spacing w:line="480" w:lineRule="auto" w:before="0" w:after="0"/>
        <w:ind w:firstLine="720"/>
        <w:jc w:val="left"/>
      </w:pPr>
      <w:r>
        <w:rPr>
          <w:rFonts w:ascii="Times New Roman" w:hAnsi="Times New Roman" w:cs="Times New Roman"/>
          <w:b w:val="0"/>
          <w:color w:val="000000"/>
          <w:sz w:val="24"/>
        </w:rPr>
        <w:t>Workshop 1 framed a study-team problem I could point at. Protocols, lab manuals, pharmacy binders, and monitoring plans are long, and a superseded amendment can still look official. The AI use case is knowledge retrieval with a citation, plus abstention when the authorized file does not support an answer. StudyCite is not a system for diagnosis, eligibility automation, or treatment advice. A single-file host was the right first artifact, because a shared URL shows the question, the answer, and the source together.</w:t>
      </w:r>
    </w:p>
    <w:p>
      <w:pPr>
        <w:spacing w:line="480" w:lineRule="auto" w:before="0" w:after="0"/>
        <w:ind w:firstLine="720"/>
        <w:jc w:val="left"/>
      </w:pPr>
      <w:r>
        <w:rPr>
          <w:rFonts w:ascii="Times New Roman" w:hAnsi="Times New Roman" w:cs="Times New Roman"/>
          <w:b w:val="0"/>
          <w:color w:val="000000"/>
          <w:sz w:val="24"/>
        </w:rPr>
        <w:t>Workshop 2 changed the engineering standard. I built a fresh Vite, React, TypeScript, and Material UI project in Cursor instead of splitting the original file line by line. I renamed the product StudyCite, because TrialLens already names another product and because every answer has to be citable against the current approved source. That local conversion took about two hours and forty-five minutes.</w:t>
      </w:r>
    </w:p>
    <w:p>
      <w:pPr>
        <w:spacing w:line="480" w:lineRule="auto" w:before="0" w:after="0"/>
        <w:ind w:firstLine="720"/>
        <w:jc w:val="left"/>
      </w:pPr>
      <w:r>
        <w:rPr>
          <w:rFonts w:ascii="Times New Roman" w:hAnsi="Times New Roman" w:cs="Times New Roman"/>
          <w:b w:val="0"/>
          <w:color w:val="000000"/>
          <w:sz w:val="24"/>
        </w:rPr>
        <w:t>Workshop 3 taught me to separate a deployment file from a deployment. I verified AWS command-line access in us-west-2 and checked in an App Runner file that builds the client and serves a Vite preview. That file is not the address that answers. StudyCite is on AWS Amplify, with CloudFront in front of the built site, last modified September 24, 2026. I opened it again on October 19, 2026. Retrieval still runs in the browser.</w:t>
      </w:r>
    </w:p>
    <w:p>
      <w:pPr>
        <w:spacing w:line="480" w:lineRule="auto" w:before="0" w:after="0"/>
        <w:ind w:firstLine="720"/>
        <w:jc w:val="left"/>
      </w:pPr>
      <w:r>
        <w:rPr>
          <w:rFonts w:ascii="Times New Roman" w:hAnsi="Times New Roman" w:cs="Times New Roman"/>
          <w:b w:val="0"/>
          <w:color w:val="000000"/>
          <w:sz w:val="24"/>
        </w:rPr>
        <w:t>Workshop 4 made feedback operational. Helpful and not helpful controls matter only if a negative reason can name a wrong source or an outdated document. Testing found defects that would have broken the grounding claim: an empty question still navigated, a failed request could leave loading stuck, uploads were marked approved automatically, and retrieval could cite a global catalog. The fixes keep drafts out of answers and refuse a study the role is not allowed to open. A site coordinator cannot open TL-204. Role switching remains a demonstration stand-in for Cognito, not production authentication.</w:t>
      </w:r>
    </w:p>
    <w:p>
      <w:pPr>
        <w:spacing w:line="480" w:lineRule="auto" w:before="0" w:after="0"/>
        <w:ind w:firstLine="720"/>
        <w:jc w:val="left"/>
      </w:pPr>
      <w:r>
        <w:rPr>
          <w:rFonts w:ascii="Times New Roman" w:hAnsi="Times New Roman" w:cs="Times New Roman"/>
          <w:b w:val="0"/>
          <w:color w:val="000000"/>
          <w:sz w:val="24"/>
        </w:rPr>
        <w:t>Workshop 5 applied that lesson in a new domain. BiteWise addresses decision fatigue on fictional sample menus: eight restaurants and forty dishes. A person describes a meal in ordinary language and receives at most three dishes that already exist. The server applies the budget and the dietary labels in SQL before any call to Gemini. The model ranks only that eligible list and must return ids from it. Invalid output uses a deterministic fallback, and the page says so. Twelve API tests cover health, filters, fallback, favorites, and the absence of an API key in the client bundle.</w:t>
      </w:r>
    </w:p>
    <w:p>
      <w:pPr>
        <w:spacing w:line="480" w:lineRule="auto" w:before="0" w:after="0"/>
        <w:ind w:firstLine="720"/>
        <w:jc w:val="left"/>
      </w:pPr>
      <w:r>
        <w:rPr>
          <w:rFonts w:ascii="Times New Roman" w:hAnsi="Times New Roman" w:cs="Times New Roman"/>
          <w:b w:val="0"/>
          <w:color w:val="000000"/>
          <w:sz w:val="24"/>
        </w:rPr>
        <w:t>Workshop 6 produced a public URL I can reload. App Runner is closed to new customers, so BiteWise was published with Google AI Studio to Cloud Run. One process serves the page and the API. A health check on that host reported the ranking model gemini-3.8-flash and showed that demo mode was off. On the morning of October 18, 2026, a vegetarian request under fifteen dollars still showed the fallback badge when the model ranking was unusable. That visible failure is part of the design.</w:t>
      </w:r>
    </w:p>
    <w:p>
      <w:pPr>
        <w:spacing w:line="480" w:lineRule="auto" w:before="0" w:after="0"/>
        <w:ind w:firstLine="720"/>
        <w:jc w:val="left"/>
      </w:pPr>
      <w:r>
        <w:rPr>
          <w:rFonts w:ascii="Times New Roman" w:hAnsi="Times New Roman" w:cs="Times New Roman"/>
          <w:b w:val="0"/>
          <w:color w:val="000000"/>
          <w:sz w:val="24"/>
        </w:rPr>
        <w:t>AI assistance changed the sequence of the work more than the typing speed. The prompts that helped were narrow. One asked the agent to convert the live prototype using the written specification and to propose a better name. Another asked it to fix the compiler error already on the screen. A later pass asked it to enumerate every control and search the source for secrets. A broad request for a generic chatbot would have produced the wrong product.</w:t>
      </w:r>
    </w:p>
    <w:p>
      <w:pPr>
        <w:spacing w:line="480" w:lineRule="auto" w:before="0" w:after="0"/>
        <w:ind w:firstLine="720"/>
        <w:jc w:val="left"/>
      </w:pPr>
      <w:r>
        <w:rPr>
          <w:rFonts w:ascii="Times New Roman" w:hAnsi="Times New Roman" w:cs="Times New Roman"/>
          <w:b w:val="0"/>
          <w:color w:val="000000"/>
          <w:sz w:val="24"/>
        </w:rPr>
        <w:t>The most valuable lesson is that grounding is a filter, not a sentence in the prompt. On the first app I asked a browser-side routine to cite approved text. On the second, ineligible meals never reach the model, and the key never reaches the browser. I will start the next project the same way: write the refusal and the data boundary first, test that boundary, and publish only an address I can open again.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color w:val="000000"/>
        <w:sz w:val="24"/>
      </w:rPr>
      <w:fldChar w:fldCharType="begin"/>
    </w:r>
    <w:r>
      <w:rPr>
        <w:rFonts w:ascii="Times New Roman" w:hAnsi="Times New Roman" w:cs="Times New Roman"/>
        <w:b w:val="0"/>
        <w:color w:val="000000"/>
        <w:sz w:val="24"/>
      </w:rPr>
      <w:instrText xml:space="preserve"> PAGE </w:instrText>
    </w:r>
    <w:r>
      <w:rPr>
        <w:rFonts w:ascii="Times New Roman" w:hAnsi="Times New Roman" w:cs="Times New Roman"/>
        <w:b w:val="0"/>
        <w:color w:val="000000"/>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