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Style w:val="Subtitle"/>
        <w:jc w:val="right"/>
        <w:rPr/>
      </w:pPr>
      <w:bookmarkStart w:colFirst="0" w:colLast="0" w:name="_c1z3l1ymg1mr" w:id="0"/>
      <w:bookmarkEnd w:id="0"/>
      <w:r w:rsidDel="00000000" w:rsidR="00000000" w:rsidRPr="00000000">
        <w:rPr>
          <w:rtl w:val="0"/>
        </w:rPr>
        <w:t xml:space="preserve">Пшеничный Никита, 10 Л</w:t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cad9yhekyonz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unhfohyrnvuw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8jyd3461jovq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/>
      </w:pPr>
      <w:bookmarkStart w:colFirst="0" w:colLast="0" w:name="_6kvt09hcxw45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cz0vgmokx5vi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bookmarkStart w:colFirst="0" w:colLast="0" w:name="_filpgzn5tysf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rPr/>
      </w:pPr>
      <w:bookmarkStart w:colFirst="0" w:colLast="0" w:name="_tegaiprss65v" w:id="7"/>
      <w:bookmarkEnd w:id="7"/>
      <w:r w:rsidDel="00000000" w:rsidR="00000000" w:rsidRPr="00000000">
        <w:rPr>
          <w:rtl w:val="0"/>
        </w:rPr>
        <w:t xml:space="preserve">Игра “Sokoban"</w:t>
      </w:r>
    </w:p>
    <w:p w:rsidR="00000000" w:rsidDel="00000000" w:rsidP="00000000" w:rsidRDefault="00000000" w:rsidRPr="00000000" w14:paraId="00000009">
      <w:pPr>
        <w:ind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Проект ученика 10 Л класса школы 171</w:t>
      </w:r>
    </w:p>
    <w:p w:rsidR="00000000" w:rsidDel="00000000" w:rsidP="00000000" w:rsidRDefault="00000000" w:rsidRPr="00000000" w14:paraId="0000000A">
      <w:pPr>
        <w:ind w:firstLine="0"/>
        <w:jc w:val="center"/>
        <w:rPr>
          <w:i w:val="1"/>
        </w:rPr>
      </w:pPr>
      <w:r w:rsidDel="00000000" w:rsidR="00000000" w:rsidRPr="00000000">
        <w:rPr>
          <w:i w:val="1"/>
          <w:rtl w:val="0"/>
        </w:rPr>
        <w:t xml:space="preserve">Пшеничного Никиты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Title"/>
        <w:rPr/>
      </w:pPr>
      <w:bookmarkStart w:colFirst="0" w:colLast="0" w:name="_598ph5hnv7lj" w:id="8"/>
      <w:bookmarkEnd w:id="8"/>
      <w:r w:rsidDel="00000000" w:rsidR="00000000" w:rsidRPr="00000000">
        <w:rPr>
          <w:rtl w:val="0"/>
        </w:rPr>
        <w:t xml:space="preserve">Техническое задание для проекта Sokoban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Данная игра - аналог классической игры Sokoban с некоторыми усовершенствованиями и дополнительными функциями. Пример стандартного Sokoban без дополнительной графики и прочего: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731749</wp:posOffset>
            </wp:positionV>
            <wp:extent cx="2509331" cy="2788146"/>
            <wp:effectExtent b="0" l="0" r="0" t="0"/>
            <wp:wrapTopAndBottom distB="114300" distT="114300"/>
            <wp:docPr id="5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9331" cy="2788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rPr/>
      </w:pPr>
      <w:bookmarkStart w:colFirst="0" w:colLast="0" w:name="_561xpadv5lu" w:id="9"/>
      <w:bookmarkEnd w:id="9"/>
      <w:r w:rsidDel="00000000" w:rsidR="00000000" w:rsidRPr="00000000">
        <w:rPr>
          <w:rtl w:val="0"/>
        </w:rPr>
        <w:t xml:space="preserve">Игра Sokoban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Классический Sokoban представляет из себя поле со стенами и ящиками. Чтобы выиграть, нужно расставить ящики на определённые места (на GIF помечены точками)</w:t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77faiafikmo7" w:id="10"/>
      <w:bookmarkEnd w:id="10"/>
      <w:r w:rsidDel="00000000" w:rsidR="00000000" w:rsidRPr="00000000">
        <w:rPr>
          <w:rtl w:val="0"/>
        </w:rPr>
        <w:t xml:space="preserve">Список функций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Создание уровня (игрок может выбрать соответствующие блоки: стены, ящики, точки назначения ящиков, начальное положение игрока и остальное, расставить их по местам и сохранить его в системе)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Изменение пользовательских уровней (изменять можно только свои уровни, не предустановленные)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Выбор уровня (из предустановленных)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Выбор дизайна ящиков и стен</w:t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Игровая механика: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Игрок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Ящики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Стены</w:t>
      </w:r>
    </w:p>
    <w:p w:rsidR="00000000" w:rsidDel="00000000" w:rsidP="00000000" w:rsidRDefault="00000000" w:rsidRPr="00000000" w14:paraId="0000002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Конвейерные ленты (проход лишь в одну сторону)</w:t>
      </w:r>
    </w:p>
    <w:p w:rsidR="00000000" w:rsidDel="00000000" w:rsidP="00000000" w:rsidRDefault="00000000" w:rsidRPr="00000000" w14:paraId="00000025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Телепорты</w:t>
      </w:r>
    </w:p>
    <w:p w:rsidR="00000000" w:rsidDel="00000000" w:rsidP="00000000" w:rsidRDefault="00000000" w:rsidRPr="00000000" w14:paraId="0000002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Ямы (нужно наполнить чем-либо, чтобы пройти)</w:t>
      </w:r>
    </w:p>
    <w:p w:rsidR="00000000" w:rsidDel="00000000" w:rsidP="00000000" w:rsidRDefault="00000000" w:rsidRPr="00000000" w14:paraId="00000027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Легкие ящики (при касании не двигаются вместе с игроком, а отлетают до столкновения с первой стеной или падения в яму)</w:t>
      </w:r>
    </w:p>
    <w:p w:rsidR="00000000" w:rsidDel="00000000" w:rsidP="00000000" w:rsidRDefault="00000000" w:rsidRPr="00000000" w14:paraId="00000028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Движение персонажа не связано клетками (как на GIF выше), т.е. но может остановиться и между клетками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Выбор музыки, добавление собственной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Подсказки</w:t>
      </w:r>
    </w:p>
    <w:p w:rsidR="00000000" w:rsidDel="00000000" w:rsidP="00000000" w:rsidRDefault="00000000" w:rsidRPr="00000000" w14:paraId="0000002B">
      <w:pPr>
        <w:pStyle w:val="Heading1"/>
        <w:ind w:firstLine="0"/>
        <w:rPr/>
      </w:pPr>
      <w:bookmarkStart w:colFirst="0" w:colLast="0" w:name="_w5sfa3cjotft" w:id="11"/>
      <w:bookmarkEnd w:id="11"/>
      <w:r w:rsidDel="00000000" w:rsidR="00000000" w:rsidRPr="00000000">
        <w:rPr>
          <w:rtl w:val="0"/>
        </w:rPr>
        <w:t xml:space="preserve">Генерация уровней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Карты уровней хранятся в файле 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levels.csv</w:t>
      </w:r>
      <w:r w:rsidDel="00000000" w:rsidR="00000000" w:rsidRPr="00000000">
        <w:rPr>
          <w:rtl w:val="0"/>
        </w:rPr>
        <w:t xml:space="preserve"> в виде кода из цифр, каждая означает свой тип блока, например, 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0 - стена, 1 - ящик, 2 - пол</w:t>
      </w:r>
      <w:r w:rsidDel="00000000" w:rsidR="00000000" w:rsidRPr="00000000">
        <w:rPr>
          <w:rtl w:val="0"/>
        </w:rPr>
        <w:t xml:space="preserve"> и т.п. Вот пример:</w:t>
      </w:r>
    </w:p>
    <w:p w:rsidR="00000000" w:rsidDel="00000000" w:rsidP="00000000" w:rsidRDefault="00000000" w:rsidRPr="00000000" w14:paraId="0000002D">
      <w:pPr>
        <w:ind w:left="0" w:firstLine="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000000000000000000000000000000000000000000000000000000000000000000000000000000000000000000000000000000002220000000000000000000001220000000000000000000002210000000000000000000221212000000000000000000202002000000000000000022202002000000000000000021221222222222222000000000002000202002222000000000002222200000000000000000000000000000000000000000000000000000000000000000000000000000000000000000000000000000000000000000000000000000000000000000000000000000000000000000000000000000000000</w:t>
      </w:r>
    </w:p>
    <w:p w:rsidR="00000000" w:rsidDel="00000000" w:rsidP="00000000" w:rsidRDefault="00000000" w:rsidRPr="00000000" w14:paraId="0000002E">
      <w:pPr>
        <w:ind w:left="566.9291338582675" w:firstLine="0"/>
        <w:rPr/>
      </w:pPr>
      <w:r w:rsidDel="00000000" w:rsidR="00000000" w:rsidRPr="00000000">
        <w:rPr>
          <w:rtl w:val="0"/>
        </w:rPr>
        <w:t xml:space="preserve">Это карта первого уровня. А вот как он выглядит в игре:</w:t>
      </w:r>
      <w:r w:rsidDel="00000000" w:rsidR="00000000" w:rsidRPr="00000000">
        <w:rPr/>
        <w:drawing>
          <wp:inline distB="114300" distT="114300" distL="114300" distR="114300">
            <wp:extent cx="2569943" cy="2213124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69943" cy="2213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09963" cy="2244172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963" cy="22441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76613" cy="2131511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6613" cy="21315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566.9291338582675" w:firstLine="0"/>
        <w:rPr/>
      </w:pPr>
      <w:r w:rsidDel="00000000" w:rsidR="00000000" w:rsidRPr="00000000">
        <w:rPr>
          <w:rtl w:val="0"/>
        </w:rPr>
        <w:t xml:space="preserve">В игре есть 3 вида дизайна блоков, все они представлены на иллюстрациях выше. Ниже представлен код, позволяющий перенести уровень из карты в двумерный массив объектов:</w:t>
      </w:r>
      <w:r w:rsidDel="00000000" w:rsidR="00000000" w:rsidRPr="00000000">
        <w:rPr/>
        <w:drawing>
          <wp:inline distB="114300" distT="114300" distL="114300" distR="114300">
            <wp:extent cx="5760000" cy="30734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ind w:left="566.9291338582675"/>
        <w:rPr/>
      </w:pPr>
      <w:bookmarkStart w:colFirst="0" w:colLast="0" w:name="_ljptxubp099d" w:id="12"/>
      <w:bookmarkEnd w:id="12"/>
      <w:r w:rsidDel="00000000" w:rsidR="00000000" w:rsidRPr="00000000">
        <w:rPr>
          <w:rtl w:val="0"/>
        </w:rPr>
        <w:t xml:space="preserve">Объекты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На данный момент реализованы классы: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/>
        <w:ind w:left="720" w:hanging="360"/>
        <w:rPr>
          <w:rFonts w:ascii="Fira Code" w:cs="Fira Code" w:eastAsia="Fira Code" w:hAnsi="Fira Cod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BlockObj</w:t>
      </w:r>
      <w:r w:rsidDel="00000000" w:rsidR="00000000" w:rsidRPr="00000000">
        <w:rPr>
          <w:rtl w:val="0"/>
        </w:rPr>
        <w:t xml:space="preserve"> - общий класс-родитель для всех блочных элементов.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Fira Code" w:cs="Fira Code" w:eastAsia="Fira Code" w:hAnsi="Fira Code"/>
          <w:rtl w:val="0"/>
        </w:rPr>
        <w:t xml:space="preserve">Brick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Box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Floor</w:t>
      </w:r>
      <w:r w:rsidDel="00000000" w:rsidR="00000000" w:rsidRPr="00000000">
        <w:rPr>
          <w:rtl w:val="0"/>
        </w:rPr>
        <w:t xml:space="preserve"> - наследники класса 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BlockObj</w:t>
      </w:r>
      <w:r w:rsidDel="00000000" w:rsidR="00000000" w:rsidRPr="00000000">
        <w:rPr>
          <w:rtl w:val="0"/>
        </w:rPr>
        <w:t xml:space="preserve">. Пока что код примерно одинаков:</w:t>
      </w:r>
      <w:r w:rsidDel="00000000" w:rsidR="00000000" w:rsidRPr="00000000">
        <w:rPr/>
        <w:drawing>
          <wp:inline distB="114300" distT="114300" distL="114300" distR="114300">
            <wp:extent cx="5760000" cy="55118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51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Board - класс игрового поля. на данный момент реализован конструктор (</w:t>
      </w:r>
      <w:r w:rsidDel="00000000" w:rsidR="00000000" w:rsidRPr="00000000">
        <w:rPr>
          <w:rtl w:val="0"/>
        </w:rPr>
        <w:t xml:space="preserve">создаёт</w:t>
      </w:r>
      <w:r w:rsidDel="00000000" w:rsidR="00000000" w:rsidRPr="00000000">
        <w:rPr>
          <w:rtl w:val="0"/>
        </w:rPr>
        <w:t xml:space="preserve"> карту) и метод отображения карты (код смотреть выше).</w:t>
      </w:r>
    </w:p>
    <w:p w:rsidR="00000000" w:rsidDel="00000000" w:rsidP="00000000" w:rsidRDefault="00000000" w:rsidRPr="00000000" w14:paraId="00000035">
      <w:pPr>
        <w:ind w:firstLine="0"/>
        <w:rPr/>
      </w:pPr>
      <w:r w:rsidDel="00000000" w:rsidR="00000000" w:rsidRPr="00000000">
        <w:rPr>
          <w:rtl w:val="0"/>
        </w:rPr>
        <w:t xml:space="preserve">Также, реализована функция получения уровней из 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.csv</w:t>
      </w:r>
      <w:r w:rsidDel="00000000" w:rsidR="00000000" w:rsidRPr="00000000">
        <w:rPr>
          <w:rtl w:val="0"/>
        </w:rPr>
        <w:t xml:space="preserve"> файла:</w:t>
      </w:r>
      <w:r w:rsidDel="00000000" w:rsidR="00000000" w:rsidRPr="00000000">
        <w:rPr/>
        <w:drawing>
          <wp:inline distB="114300" distT="114300" distL="114300" distR="114300">
            <wp:extent cx="5760000" cy="1155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5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  <w:t xml:space="preserve">Функция </w:t>
      </w:r>
      <w:r w:rsidDel="00000000" w:rsidR="00000000" w:rsidRPr="00000000">
        <w:rPr>
          <w:rFonts w:ascii="Fira Code" w:cs="Fira Code" w:eastAsia="Fira Code" w:hAnsi="Fira Code"/>
          <w:rtl w:val="0"/>
        </w:rPr>
        <w:t xml:space="preserve">main():</w:t>
      </w:r>
      <w:r w:rsidDel="00000000" w:rsidR="00000000" w:rsidRPr="00000000">
        <w:rPr>
          <w:rFonts w:ascii="Fira Code" w:cs="Fira Code" w:eastAsia="Fira Code" w:hAnsi="Fira Code"/>
        </w:rPr>
        <w:drawing>
          <wp:inline distB="114300" distT="114300" distL="114300" distR="114300">
            <wp:extent cx="5705475" cy="66103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661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rPr>
          <w:rFonts w:ascii="Fira Code" w:cs="Fira Code" w:eastAsia="Fira Code" w:hAnsi="Fira Cod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3.8582677165355" w:top="1133.8582677165355" w:left="1417.3228346456694" w:right="1417.322834645669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Fira Code">
    <w:embedRegular w:fontKey="{00000000-0000-0000-0000-000000000000}" r:id="rId13" w:subsetted="0"/>
    <w:embedBold w:fontKey="{00000000-0000-0000-0000-000000000000}" r:id="rId14" w:subsetted="0"/>
  </w:font>
  <w:font w:name="Montserrat ExtraBold">
    <w:embedBold w:fontKey="{00000000-0000-0000-0000-000000000000}" r:id="rId15" w:subsetted="0"/>
    <w:embedBoldItalic w:fontKey="{00000000-0000-0000-0000-000000000000}" r:id="rId1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Montserrat" w:cs="Montserrat" w:eastAsia="Montserrat" w:hAnsi="Montserrat"/>
        <w:sz w:val="22"/>
        <w:szCs w:val="22"/>
        <w:lang w:val="ru"/>
      </w:rPr>
    </w:rPrDefault>
    <w:pPrDefault>
      <w:pPr>
        <w:spacing w:after="200" w:before="200" w:line="276" w:lineRule="auto"/>
        <w:ind w:firstLine="566.9291338582675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line="480" w:lineRule="auto"/>
      <w:ind w:firstLine="0"/>
      <w:jc w:val="center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480" w:lineRule="auto"/>
      <w:ind w:firstLine="0"/>
      <w:jc w:val="center"/>
    </w:pPr>
    <w:rPr>
      <w:rFonts w:ascii="Montserrat SemiBold" w:cs="Montserrat SemiBold" w:eastAsia="Montserrat SemiBold" w:hAnsi="Montserrat SemiBold"/>
      <w:i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line="480" w:lineRule="auto"/>
      <w:ind w:firstLine="0"/>
      <w:jc w:val="center"/>
    </w:pPr>
    <w:rPr>
      <w:rFonts w:ascii="Montserrat SemiBold" w:cs="Montserrat SemiBold" w:eastAsia="Montserrat SemiBold" w:hAnsi="Montserrat SemiBold"/>
      <w:i w:val="1"/>
      <w:color w:val="66666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line="480" w:lineRule="auto"/>
      <w:ind w:firstLine="0"/>
      <w:jc w:val="center"/>
    </w:pPr>
    <w:rPr>
      <w:rFonts w:ascii="Montserrat ExtraBold" w:cs="Montserrat ExtraBold" w:eastAsia="Montserrat ExtraBold" w:hAnsi="Montserrat ExtraBold"/>
      <w:i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</w:pPr>
    <w:rPr>
      <w:rFonts w:ascii="Montserrat Light" w:cs="Montserrat Light" w:eastAsia="Montserrat Light" w:hAnsi="Montserrat Light"/>
      <w:shd w:fill="f1c232" w:val="clear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3" Type="http://schemas.openxmlformats.org/officeDocument/2006/relationships/font" Target="fonts/FiraCode-regular.ttf"/><Relationship Id="rId12" Type="http://schemas.openxmlformats.org/officeDocument/2006/relationships/font" Target="fonts/MontserratLight-boldItalic.ttf"/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9" Type="http://schemas.openxmlformats.org/officeDocument/2006/relationships/font" Target="fonts/MontserratLight-regular.ttf"/><Relationship Id="rId15" Type="http://schemas.openxmlformats.org/officeDocument/2006/relationships/font" Target="fonts/MontserratExtraBold-bold.ttf"/><Relationship Id="rId14" Type="http://schemas.openxmlformats.org/officeDocument/2006/relationships/font" Target="fonts/FiraCode-bold.ttf"/><Relationship Id="rId16" Type="http://schemas.openxmlformats.org/officeDocument/2006/relationships/font" Target="fonts/MontserratExtraBold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