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Liberation Sans" w:hAnsi="Liberation Sans"/>
          <w:b/>
          <w:color w:val="1F4E79"/>
          <w:sz w:val="44"/>
        </w:rPr>
        <w:t>Phase 2 - gl_calls.c Corrections</w:t>
      </w:r>
    </w:p>
    <w:p>
      <w:pPr>
        <w:jc w:val="center"/>
      </w:pPr>
      <w:r>
        <w:rPr>
          <w:rFonts w:ascii="Liberation Sans" w:hAnsi="Liberation Sans"/>
          <w:i/>
          <w:sz w:val="22"/>
        </w:rPr>
        <w:t>Safe client-only unified diff against the attached 7,408-line 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Field</w:t>
            </w:r>
          </w:p>
        </w:tc>
        <w:tc>
          <w:tcPr>
            <w:tcW w:type="dxa" w:w="7344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Input</w:t>
            </w:r>
          </w:p>
        </w:tc>
        <w:tc>
          <w:tcPr>
            <w:tcW w:type="dxa" w:w="7344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/mnt/data/gl_calls.c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Input SHA-256</w:t>
            </w:r>
          </w:p>
        </w:tc>
        <w:tc>
          <w:tcPr>
            <w:tcW w:type="dxa" w:w="7344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412b179876f5399548ddb3d4f6470624bf61c31a5677cff87b09ee0587a48ec0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Patch</w:t>
            </w:r>
          </w:p>
        </w:tc>
        <w:tc>
          <w:tcPr>
            <w:tcW w:type="dxa" w:w="7344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gl_calls.phase2-safe.patch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Protocol change</w:t>
            </w:r>
          </w:p>
        </w:tc>
        <w:tc>
          <w:tcPr>
            <w:tcW w:type="dxa" w:w="7344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None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Required deployment action</w:t>
            </w:r>
          </w:p>
        </w:tc>
        <w:tc>
          <w:tcPr>
            <w:tcW w:type="dxa" w:w="7344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Rebuild/re-hash client libGL.so.1; bump matched package build ID for traceability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Verification performed</w:t>
            </w:r>
          </w:p>
        </w:tc>
        <w:tc>
          <w:tcPr>
            <w:tcW w:type="dxa" w:w="7344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Patch dry-run, apply and byte-for-byte comparison to generated corrected file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Not performed</w:t>
            </w:r>
          </w:p>
        </w:tc>
        <w:tc>
          <w:tcPr>
            <w:tcW w:type="dxa" w:w="7344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7"/>
              </w:rPr>
              <w:t>Compilation, link, game run or device validation</w:t>
            </w:r>
          </w:p>
        </w:tc>
      </w:tr>
    </w:tbl>
    <w:p>
      <w:pPr>
        <w:pStyle w:val="Heading1"/>
      </w:pPr>
      <w:r>
        <w:t>Included corrections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Issue</w:t>
            </w:r>
          </w:p>
        </w:tc>
        <w:tc>
          <w:tcPr>
            <w:tcW w:type="dxa" w:w="25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Function(s)</w:t>
            </w:r>
          </w:p>
        </w:tc>
        <w:tc>
          <w:tcPr>
            <w:tcW w:type="dxa" w:w="547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Exact behavior</w:t>
            </w:r>
          </w:p>
        </w:tc>
        <w:tc>
          <w:tcPr>
            <w:tcW w:type="dxa" w:w="93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5"/>
              </w:rPr>
              <w:t>Protocol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A09</w:t>
            </w:r>
          </w:p>
        </w:tc>
        <w:tc>
          <w:tcPr>
            <w:tcW w:type="dxa" w:w="259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glDisable/EnableClientStateIndexedEXT/iEXT</w:t>
            </w:r>
          </w:p>
        </w:tc>
        <w:tc>
          <w:tcPr>
            <w:tcW w:type="dxa" w:w="54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Backport upstream behavior: switch client-active texture coordinate unit, invoke canonical enable/disable, restore prior unit.</w:t>
            </w:r>
          </w:p>
        </w:tc>
        <w:tc>
          <w:tcPr>
            <w:tcW w:type="dxa" w:w="93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A09</w:t>
            </w:r>
          </w:p>
        </w:tc>
        <w:tc>
          <w:tcPr>
            <w:tcW w:type="dxa" w:w="259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glMultiTexCoordPointerEXT</w:t>
            </w:r>
          </w:p>
        </w:tc>
        <w:tc>
          <w:tcPr>
            <w:tcW w:type="dxa" w:w="54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Use glClientActiveTexture, not GL_DSA active server texture state, while setting the pointer.</w:t>
            </w:r>
          </w:p>
        </w:tc>
        <w:tc>
          <w:tcPr>
            <w:tcW w:type="dxa" w:w="93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A14/A17/A35</w:t>
            </w:r>
          </w:p>
        </w:tc>
        <w:tc>
          <w:tcPr>
            <w:tcW w:type="dxa" w:w="259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glColor*, glNormal*, glSecondaryColor* integer variants</w:t>
            </w:r>
          </w:p>
        </w:tc>
        <w:tc>
          <w:tcPr>
            <w:tcW w:type="dxa" w:w="54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Apply OpenGL 2.1 signed formula (2c+1)/(2^b-1) and unsigned formula c/(2^b-1), with double intermediate for GLint.</w:t>
            </w:r>
          </w:p>
        </w:tc>
        <w:tc>
          <w:tcPr>
            <w:tcW w:type="dxa" w:w="93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A30</w:t>
            </w:r>
          </w:p>
        </w:tc>
        <w:tc>
          <w:tcPr>
            <w:tcW w:type="dxa" w:w="259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glAreTexturesResident</w:t>
            </w:r>
          </w:p>
        </w:tc>
        <w:tc>
          <w:tcPr>
            <w:tcW w:type="dxa" w:w="54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Populate every output residence with GL_TRUE to match the existing always-resident return policy.</w:t>
            </w:r>
          </w:p>
        </w:tc>
        <w:tc>
          <w:tcPr>
            <w:tcW w:type="dxa" w:w="93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A30/B13</w:t>
            </w:r>
          </w:p>
        </w:tc>
        <w:tc>
          <w:tcPr>
            <w:tcW w:type="dxa" w:w="259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glGetProgramInfoLog / glGetShaderInfoLog</w:t>
            </w:r>
          </w:p>
        </w:tc>
        <w:tc>
          <w:tcPr>
            <w:tcW w:type="dxa" w:w="54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Clamp server length to remaining reply and caller bufSize-1; null-terminate only when buffer exists.</w:t>
            </w:r>
          </w:p>
        </w:tc>
        <w:tc>
          <w:tcPr>
            <w:tcW w:type="dxa" w:w="93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5"/>
              </w:rPr>
              <w:t>No</w:t>
            </w:r>
          </w:p>
        </w:tc>
      </w:tr>
    </w:tbl>
    <w:p>
      <w:pPr>
        <w:pStyle w:val="Heading1"/>
      </w:pPr>
      <w:r>
        <w:t>Why the integer conversion is a correctness fix</w:t>
      </w:r>
    </w:p>
    <w:p>
      <w:pPr>
        <w:keepLines w:val="0"/>
      </w:pPr>
      <w:r>
        <w:rPr>
          <w:rFonts w:ascii="Liberation Sans" w:hAnsi="Liberation Sans"/>
          <w:b/>
          <w:color w:val="1F4E79"/>
          <w:sz w:val="18"/>
        </w:rPr>
        <w:t xml:space="preserve">VERIFIED [S16]. </w:t>
      </w:r>
      <w:r>
        <w:rPr>
          <w:rFonts w:ascii="Liberation Sans" w:hAnsi="Liberation Sans"/>
          <w:sz w:val="18"/>
        </w:rPr>
        <w:t>Desktop OpenGL maps signed b-bit color and normal components using (2c+1)/(2^b-1), producing exactly -1 at the minimum and +1 at the maximum. Dividing signed values by INT*_MAX is not equivalent for negative values, and raw-casting integer normals is incorrect.</w:t>
      </w:r>
    </w:p>
    <w:p>
      <w:pPr>
        <w:spacing w:before="40" w:after="80"/>
        <w:ind w:left="288" w:right="144"/>
        <w:shd w:fill="F2F4F7"/>
      </w:pPr>
      <w:r>
        <w:rPr>
          <w:rFonts w:ascii="Liberation Mono" w:hAnsi="Liberation Mono"/>
          <w:sz w:val="15"/>
        </w:rPr>
        <w:t>static inline GLfloat gladioSignedNormalizedToFloat(int64_t value, uint64_t unsignedMax) {</w:t>
      </w:r>
      <w:r>
        <w:br/>
      </w:r>
      <w:r>
        <w:rPr>
          <w:rFonts w:ascii="Liberation Mono" w:hAnsi="Liberation Mono"/>
          <w:sz w:val="15"/>
        </w:rPr>
        <w:t xml:space="preserve">    return (GLfloat)(((2.0 * (double)value) + 1.0) / (double)unsignedMax);</w:t>
      </w:r>
      <w:r>
        <w:br/>
      </w:r>
      <w:r>
        <w:rPr>
          <w:rFonts w:ascii="Liberation Mono" w:hAnsi="Liberation Mono"/>
          <w:sz w:val="15"/>
        </w:rPr>
        <w:t>}</w:t>
      </w:r>
      <w:r>
        <w:br/>
      </w:r>
      <w:r>
        <w:rPr>
          <w:rFonts w:ascii="Liberation Mono" w:hAnsi="Liberation Mono"/>
          <w:sz w:val="15"/>
        </w:rPr>
      </w:r>
      <w:r>
        <w:br/>
      </w:r>
      <w:r>
        <w:rPr>
          <w:rFonts w:ascii="Liberation Mono" w:hAnsi="Liberation Mono"/>
          <w:sz w:val="15"/>
        </w:rPr>
        <w:t>static inline GLfloat gladioUnsignedNormalizedToFloat(uint64_t value, uint64_t unsignedMax) {</w:t>
      </w:r>
      <w:r>
        <w:br/>
      </w:r>
      <w:r>
        <w:rPr>
          <w:rFonts w:ascii="Liberation Mono" w:hAnsi="Liberation Mono"/>
          <w:sz w:val="15"/>
        </w:rPr>
        <w:t xml:space="preserve">    return (GLfloat)((double)value / (double)unsignedMax);</w:t>
      </w:r>
      <w:r>
        <w:br/>
      </w:r>
      <w:r>
        <w:rPr>
          <w:rFonts w:ascii="Liberation Mono" w:hAnsi="Liberation Mono"/>
          <w:sz w:val="15"/>
        </w:rPr>
        <w:t>}</w:t>
      </w:r>
    </w:p>
    <w:p>
      <w:pPr>
        <w:pStyle w:val="Heading1"/>
      </w:pPr>
      <w:r>
        <w:t>Assumptions</w:t>
      </w:r>
    </w:p>
    <w:p>
      <w:pPr>
        <w:pStyle w:val="ListBullet"/>
      </w:pPr>
      <w:r>
        <w:rPr>
          <w:rFonts w:ascii="Liberation Sans" w:hAnsi="Liberation Sans"/>
          <w:b/>
          <w:sz w:val="18"/>
        </w:rPr>
        <w:t xml:space="preserve">HYPOTHESIS. </w:t>
      </w:r>
      <w:r>
        <w:rPr>
          <w:rFonts w:ascii="Liberation Sans" w:hAnsi="Liberation Sans"/>
          <w:sz w:val="18"/>
        </w:rPr>
        <w:t>GL_CALL_LOCK is recursive, so the upstream indexed-client-state pattern may call glClientActiveTexture and glEnable/DisableClientState while held.</w:t>
      </w:r>
    </w:p>
    <w:p>
      <w:pPr>
        <w:pStyle w:val="ListBullet"/>
      </w:pPr>
      <w:r>
        <w:rPr>
          <w:rFonts w:ascii="Liberation Sans" w:hAnsi="Liberation Sans"/>
          <w:b/>
          <w:sz w:val="18"/>
        </w:rPr>
        <w:t xml:space="preserve">HYPOTHESIS. </w:t>
      </w:r>
      <w:r>
        <w:rPr>
          <w:rFonts w:ascii="Liberation Sans" w:hAnsi="Liberation Sans"/>
          <w:sz w:val="18"/>
        </w:rPr>
        <w:t>activeTexCoord is a zero-based client texture coordinate unit.</w:t>
      </w:r>
    </w:p>
    <w:p>
      <w:pPr>
        <w:pStyle w:val="ListBullet"/>
      </w:pPr>
      <w:r>
        <w:rPr>
          <w:rFonts w:ascii="Liberation Sans" w:hAnsi="Liberation Sans"/>
          <w:b/>
          <w:sz w:val="18"/>
        </w:rPr>
        <w:t xml:space="preserve">HYPOTHESIS. </w:t>
      </w:r>
      <w:r>
        <w:rPr>
          <w:rFonts w:ascii="Liberation Sans" w:hAnsi="Liberation Sans"/>
          <w:sz w:val="18"/>
        </w:rPr>
        <w:t>glClientActiveTexture is the canonical state-mirror + server update path.</w:t>
      </w:r>
    </w:p>
    <w:p>
      <w:pPr>
        <w:pStyle w:val="ListBullet"/>
      </w:pPr>
      <w:r>
        <w:rPr>
          <w:rFonts w:ascii="Liberation Sans" w:hAnsi="Liberation Sans"/>
          <w:b/>
          <w:sz w:val="18"/>
        </w:rPr>
        <w:t xml:space="preserve">HYPOTHESIS. </w:t>
      </w:r>
      <w:r>
        <w:rPr>
          <w:rFonts w:ascii="Liberation Sans" w:hAnsi="Liberation Sans"/>
          <w:sz w:val="18"/>
        </w:rPr>
        <w:t>int64_t, uint64_t and UINT*_MAX are included by the existing project headers.</w:t>
      </w:r>
    </w:p>
    <w:p>
      <w:pPr>
        <w:pStyle w:val="ListBullet"/>
      </w:pPr>
      <w:r>
        <w:rPr>
          <w:rFonts w:ascii="Liberation Sans" w:hAnsi="Liberation Sans"/>
          <w:b/>
          <w:sz w:val="18"/>
        </w:rPr>
        <w:t xml:space="preserve">HYPOTHESIS. </w:t>
      </w:r>
      <w:r>
        <w:rPr>
          <w:rFonts w:ascii="Liberation Sans" w:hAnsi="Liberation Sans"/>
          <w:sz w:val="18"/>
        </w:rPr>
        <w:t>The server already receives the same requests; no request decoder change is needed for these hunks.</w:t>
      </w:r>
    </w:p>
    <w:p>
      <w:pPr>
        <w:pStyle w:val="Heading1"/>
      </w:pPr>
      <w:r>
        <w:t>Deliberately blocked until dependent files are attached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Issues</w:t>
            </w:r>
          </w:p>
        </w:tc>
        <w:tc>
          <w:tcPr>
            <w:tcW w:type="dxa" w:w="345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Blocked patch</w:t>
            </w:r>
          </w:p>
        </w:tc>
        <w:tc>
          <w:tcPr>
            <w:tcW w:type="dxa" w:w="532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sz w:val="16"/>
              </w:rPr>
              <w:t>Required dependency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B01/B09/B10</w:t>
            </w:r>
          </w:p>
        </w:tc>
        <w:tc>
          <w:tcPr>
            <w:tcW w:type="dxa" w:w="345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64-bit size/offset/pointer/GLsync wire fixes</w:t>
            </w:r>
          </w:p>
        </w:tc>
        <w:tc>
          <w:tcPr>
            <w:tcW w:type="dxa" w:w="5328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Needs request_codes.h, gladio.h, client/server decoders and ring schema.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B02/B03</w:t>
            </w:r>
          </w:p>
        </w:tc>
        <w:tc>
          <w:tcPr>
            <w:tcW w:type="dxa" w:w="345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Atomic glEnd and one-publication records</w:t>
            </w:r>
          </w:p>
        </w:tc>
        <w:tc>
          <w:tcPr>
            <w:tcW w:type="dxa" w:w="5328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Needs both ring_buffer implementations and server glEnd parser.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A01/A02/A04-A07</w:t>
            </w:r>
          </w:p>
        </w:tc>
        <w:tc>
          <w:tcPr>
            <w:tcW w:type="dxa" w:w="345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Texture formats, compression and combine</w:t>
            </w:r>
          </w:p>
        </w:tc>
        <w:tc>
          <w:tcPr>
            <w:tcW w:type="dxa" w:w="5328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Needs server gl_texture/gl_formats/compressed_texture/request_handler/shader state.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A12-A19</w:t>
            </w:r>
          </w:p>
        </w:tc>
        <w:tc>
          <w:tcPr>
            <w:tcW w:type="dxa" w:w="345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Lighting, material, secondary arrays, alpha, fog</w:t>
            </w:r>
          </w:p>
        </w:tc>
        <w:tc>
          <w:tcPr>
            <w:tcW w:type="dxa" w:w="5328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Needs gl_renderer, shader_material, shader_converter and main.c framing.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C01/C11</w:t>
            </w:r>
          </w:p>
        </w:tc>
        <w:tc>
          <w:tcPr>
            <w:tcW w:type="dxa" w:w="3456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Array cache/shared-memory references</w:t>
            </w:r>
          </w:p>
        </w:tc>
        <w:tc>
          <w:tcPr>
            <w:tcW w:type="dxa" w:w="5328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line="221" w:lineRule="auto"/>
            </w:pPr>
            <w:r>
              <w:rPr>
                <w:rFonts w:ascii="Liberation Sans" w:hAnsi="Liberation Sans"/>
                <w:sz w:val="16"/>
              </w:rPr>
              <w:t>Needs main.c, server gl_context renderer parser, request codes and rings.</w:t>
            </w:r>
          </w:p>
        </w:tc>
      </w:tr>
    </w:tbl>
    <w:p>
      <w:pPr>
        <w:keepLines w:val="0"/>
      </w:pPr>
      <w:r>
        <w:rPr>
          <w:rFonts w:ascii="Liberation Sans" w:hAnsi="Liberation Sans"/>
          <w:b/>
          <w:color w:val="9C5900"/>
          <w:sz w:val="18"/>
        </w:rPr>
        <w:t xml:space="preserve">FILE ATTACHMENT REQUEST. </w:t>
      </w:r>
      <w:r>
        <w:rPr>
          <w:rFonts w:ascii="Liberation Sans" w:hAnsi="Liberation Sans"/>
          <w:sz w:val="18"/>
        </w:rPr>
        <w:t>Attach server request_handler.c and client main.c first, followed by gladio.h, request_codes.h and both ring_buffer implementations. Those files unlock the highest-severity both-end corrections without inventing unseen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5F5F5F"/>
        <w:sz w:val="15"/>
      </w:rPr>
      <w:t>WoW 1.12.1 / Gladio legacy OpenGL lane - research and repair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46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050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