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10349.0" w:type="dxa"/>
        <w:jc w:val="center"/>
        <w:tblLayout w:type="fixed"/>
        <w:tblLook w:val="0000"/>
      </w:tblPr>
      <w:tblGrid>
        <w:gridCol w:w="3263"/>
        <w:gridCol w:w="709"/>
        <w:gridCol w:w="6377"/>
        <w:tblGridChange w:id="0">
          <w:tblGrid>
            <w:gridCol w:w="3263"/>
            <w:gridCol w:w="709"/>
            <w:gridCol w:w="6377"/>
          </w:tblGrid>
        </w:tblGridChange>
      </w:tblGrid>
      <w:tr>
        <w:trPr>
          <w:cantSplit w:val="1"/>
          <w:trHeight w:val="360" w:hRule="atLeast"/>
          <w:tblHeader w:val="0"/>
        </w:trPr>
        <w:tc>
          <w:tcPr>
            <w:gridSpan w:val="3"/>
            <w:vAlign w:val="center"/>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8"/>
                <w:szCs w:val="28"/>
                <w:u w:val="none"/>
                <w:shd w:fill="auto" w:val="clear"/>
                <w:vertAlign w:val="baseline"/>
              </w:rPr>
            </w:pPr>
            <w:r w:rsidDel="00000000" w:rsidR="00000000" w:rsidRPr="00000000">
              <w:rPr>
                <w:rFonts w:ascii="DFKai-SB" w:cs="DFKai-SB" w:eastAsia="DFKai-SB" w:hAnsi="DFKai-SB"/>
                <w:b w:val="1"/>
                <w:i w:val="0"/>
                <w:smallCaps w:val="0"/>
                <w:strike w:val="0"/>
                <w:color w:val="000000"/>
                <w:sz w:val="28"/>
                <w:szCs w:val="28"/>
                <w:u w:val="none"/>
                <w:shd w:fill="auto" w:val="clear"/>
                <w:vertAlign w:val="baseline"/>
                <w:rtl w:val="0"/>
              </w:rPr>
              <w:t xml:space="preserve">({{ORG}})</w:t>
            </w:r>
            <w:r w:rsidDel="00000000" w:rsidR="00000000" w:rsidRPr="00000000">
              <w:rPr>
                <w:rFonts w:ascii="DFKai-SB" w:cs="DFKai-SB" w:eastAsia="DFKai-SB" w:hAnsi="DFKai-SB"/>
                <w:b w:val="1"/>
                <w:sz w:val="28"/>
                <w:szCs w:val="28"/>
                <w:rtl w:val="0"/>
              </w:rPr>
              <w:t xml:space="preserve"/>
            </w:r>
            <w:r w:rsidDel="00000000" w:rsidR="00000000" w:rsidRPr="00000000">
              <w:rPr>
                <w:rFonts w:ascii="DFKai-SB" w:cs="DFKai-SB" w:eastAsia="DFKai-SB" w:hAnsi="DFKai-SB"/>
                <w:b w:val="1"/>
                <w:i w:val="0"/>
                <w:smallCaps w:val="0"/>
                <w:strike w:val="0"/>
                <w:color w:val="000000"/>
                <w:sz w:val="28"/>
                <w:szCs w:val="28"/>
                <w:u w:val="none"/>
                <w:shd w:fill="auto" w:val="clear"/>
                <w:vertAlign w:val="baseline"/>
                <w:rtl w:val="0"/>
              </w:rPr>
              <w:t xml:space="preserve">   移動式起重機定期檢查結果及會談紀錄</w:t>
            </w:r>
            <w:r w:rsidDel="00000000" w:rsidR="00000000" w:rsidRPr="00000000">
              <w:rPr>
                <w:rtl w:val="0"/>
              </w:rPr>
            </w:r>
          </w:p>
        </w:tc>
      </w:tr>
      <w:tr>
        <w:trPr>
          <w:cantSplit w:val="1"/>
          <w:trHeight w:val="68" w:hRule="atLeast"/>
          <w:tblHeader w:val="0"/>
        </w:trPr>
        <w:tc>
          <w:tcP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8"/>
                <w:szCs w:val="28"/>
                <w:u w:val="none"/>
                <w:shd w:fill="auto" w:val="clear"/>
                <w:vertAlign w:val="baseline"/>
                <w:rtl w:val="0"/>
              </w:rPr>
              <w:t xml:space="preserve">□初檢  □複檢</w:t>
            </w:r>
            <w:r w:rsidDel="00000000" w:rsidR="00000000" w:rsidRPr="00000000">
              <w:rPr>
                <w:rtl w:val="0"/>
              </w:rPr>
            </w:r>
          </w:p>
        </w:tc>
      </w:tr>
    </w:tbl>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bl>
      <w:tblPr>
        <w:tblStyle w:val="Table2"/>
        <w:tblW w:w="10253.000000000002" w:type="dxa"/>
        <w:jc w:val="cente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58"/>
        <w:gridCol w:w="1432"/>
        <w:gridCol w:w="1439"/>
        <w:gridCol w:w="2500"/>
        <w:gridCol w:w="2158"/>
        <w:gridCol w:w="1352"/>
        <w:gridCol w:w="1014"/>
        <w:tblGridChange w:id="0">
          <w:tblGrid>
            <w:gridCol w:w="358"/>
            <w:gridCol w:w="1432"/>
            <w:gridCol w:w="1439"/>
            <w:gridCol w:w="2500"/>
            <w:gridCol w:w="2158"/>
            <w:gridCol w:w="1352"/>
            <w:gridCol w:w="1014"/>
          </w:tblGrid>
        </w:tblGridChange>
      </w:tblGrid>
      <w:tr>
        <w:trPr>
          <w:cantSplit w:val="1"/>
          <w:trHeight w:val="271" w:hRule="atLeast"/>
          <w:tblHeader w:val="0"/>
        </w:trPr>
        <w:tc>
          <w:tcPr>
            <w:gridSpan w:val="2"/>
            <w:tcBorders>
              <w:top w:color="000000" w:space="0" w:sz="12" w:val="single"/>
            </w:tcBorders>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事業單位名稱</w:t>
            </w:r>
          </w:p>
        </w:tc>
        <w:tc>
          <w:tcPr>
            <w:gridSpan w:val="2"/>
            <w:tcBorders>
              <w:top w:color="000000" w:space="0" w:sz="12" w:val="single"/>
            </w:tcBorders>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{{BSNAME}}</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c>
          <w:tcPr>
            <w:tcBorders>
              <w:top w:color="000000" w:space="0" w:sz="12" w:val="single"/>
            </w:tcBorders>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機械編號</w:t>
            </w:r>
          </w:p>
        </w:tc>
        <w:tc>
          <w:tcPr>
            <w:gridSpan w:val="2"/>
            <w:tcBorders>
              <w:top w:color="000000" w:space="0" w:sz="12" w:val="single"/>
            </w:tcBorders>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{{MHNO}}</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r>
      <w:tr>
        <w:trPr>
          <w:cantSplit w:val="1"/>
          <w:trHeight w:val="296" w:hRule="atLeast"/>
          <w:tblHeader w:val="0"/>
        </w:trPr>
        <w:tc>
          <w:tcPr>
            <w:gridSpan w:val="2"/>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型式</w:t>
            </w:r>
          </w:p>
        </w:tc>
        <w:tc>
          <w:tcPr>
            <w:gridSpan w:val="2"/>
            <w:vAlign w:val="center"/>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{{TYPE}}</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c>
          <w:tcP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吊升荷重</w:t>
            </w:r>
          </w:p>
        </w:tc>
        <w:tc>
          <w:tcPr>
            <w:gridSpan w:val="2"/>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{{LIFTLOAD}}</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公噸</w:t>
            </w:r>
          </w:p>
        </w:tc>
      </w:tr>
      <w:tr>
        <w:trPr>
          <w:cantSplit w:val="1"/>
          <w:trHeight w:val="140" w:hRule="atLeast"/>
          <w:tblHeader w:val="0"/>
        </w:trPr>
        <w:tc>
          <w:tcPr>
            <w:gridSpan w:val="2"/>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檢查地址</w:t>
            </w:r>
          </w:p>
        </w:tc>
        <w:tc>
          <w:tcPr>
            <w:gridSpan w:val="5"/>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4"/>
                <w:szCs w:val="24"/>
                <w:u w:val="none"/>
                <w:shd w:fill="auto" w:val="clear"/>
                <w:vertAlign w:val="baseline"/>
              </w:rPr>
            </w:pPr>
            <w:r>
              <w:rPr>
                <w:rFonts w:ascii="DFKai-SB" w:cs="DFKai-SB" w:eastAsia="DFKai-SB" w:hAnsi="DFKai-SB"/>
                <w:b w:val="0"/>
                <w:i w:val="0"/>
                <w:smallCaps w:val="0"/>
                <w:strike w:val="0"/>
                <w:color w:val="000000"/>
                <w:sz w:val="24"/>
                <w:szCs w:val="24"/>
                <w:u w:val="none"/>
                <w:shd w:fill="auto" w:val="clear"/>
                <w:vertAlign w:val="baseline"/>
              </w:rPr>
              <w:t xml:space="preserve">{{CKADDR}}</w:t>
            </w: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 </w:t>
            </w:r>
          </w:p>
        </w:tc>
      </w:tr>
      <w:tr>
        <w:trPr>
          <w:cantSplit w:val="1"/>
          <w:trHeight w:val="216" w:hRule="atLeast"/>
          <w:tblHeader w:val="0"/>
        </w:trPr>
        <w:tc>
          <w:tcPr>
            <w:gridSpan w:val="2"/>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檢查項目</w:t>
            </w:r>
          </w:p>
        </w:tc>
        <w:tc>
          <w:tcP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法規條款</w:t>
            </w:r>
          </w:p>
        </w:tc>
        <w:tc>
          <w:tcPr>
            <w:gridSpan w:val="3"/>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 w:right="23"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法規內容/實測數據</w:t>
            </w:r>
          </w:p>
        </w:tc>
        <w:tc>
          <w:tcP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檢查結果</w:t>
            </w:r>
            <w:r w:rsidDel="00000000" w:rsidR="00000000" w:rsidRPr="00000000">
              <w:rPr>
                <w:rtl w:val="0"/>
              </w:rPr>
            </w:r>
          </w:p>
        </w:tc>
      </w:tr>
      <w:tr>
        <w:trPr>
          <w:cantSplit w:val="1"/>
          <w:trHeight w:val="59" w:hRule="atLeast"/>
          <w:tblHeader w:val="0"/>
        </w:trPr>
        <w:tc>
          <w:tcPr>
            <w:vMerge w:val="restart"/>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一</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2"/>
                <w:szCs w:val="22"/>
                <w:u w:val="none"/>
                <w:shd w:fill="auto" w:val="clear"/>
                <w:vertAlign w:val="baseline"/>
              </w:rPr>
            </w:pPr>
            <w:r w:rsidDel="00000000" w:rsidR="00000000" w:rsidRPr="00000000">
              <w:rPr>
                <w:rFonts w:ascii="DFKai-SB" w:cs="DFKai-SB" w:eastAsia="DFKai-SB" w:hAnsi="DFKai-SB"/>
                <w:b w:val="0"/>
                <w:i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4"/>
                <w:szCs w:val="24"/>
                <w:u w:val="none"/>
                <w:shd w:fill="auto" w:val="clear"/>
                <w:vertAlign w:val="baseline"/>
              </w:rPr>
            </w:pPr>
            <w:sdt>
              <w:sdtPr>
                <w:tag w:val="goog_rdk_0"/>
              </w:sdtPr>
              <w:sdtContent>
                <w:r w:rsidDel="00000000" w:rsidR="00000000" w:rsidRPr="00000000">
                  <w:rPr>
                    <w:rFonts w:ascii="Gungsuh" w:cs="Gungsuh" w:eastAsia="Gungsuh" w:hAnsi="Gungsuh"/>
                    <w:b w:val="0"/>
                    <w:i w:val="0"/>
                    <w:smallCaps w:val="0"/>
                    <w:strike w:val="0"/>
                    <w:color w:val="000000"/>
                    <w:sz w:val="22"/>
                    <w:szCs w:val="22"/>
                    <w:u w:val="none"/>
                    <w:shd w:fill="auto" w:val="clear"/>
                    <w:vertAlign w:val="baseline"/>
                    <w:rtl w:val="0"/>
                  </w:rPr>
                  <w:t xml:space="preserve">結構部分</w:t>
                </w:r>
              </w:sdtContent>
            </w:sdt>
            <w:r w:rsidDel="00000000" w:rsidR="00000000" w:rsidRPr="00000000">
              <w:rPr>
                <w:rtl w:val="0"/>
              </w:rPr>
            </w:r>
          </w:p>
        </w:tc>
        <w:tc>
          <w:tcP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4" w:right="0" w:hanging="2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1.伸臂等(含輔助伸臂) </w:t>
            </w:r>
          </w:p>
        </w:tc>
        <w:tc>
          <w:tcP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0" w:right="10" w:hanging="16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w:t>
            </w:r>
          </w:p>
        </w:tc>
        <w:tc>
          <w:tcPr>
            <w:gridSpan w:val="3"/>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2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固定妥當，無顯著裂痕、變形、損傷及腐蝕</w:t>
            </w:r>
            <w:sdt>
              <w:sdtPr>
                <w:tag w:val="goog_rdk_1"/>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singl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singl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4" w:right="10" w:hanging="2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2.下部走行體</w:t>
            </w:r>
          </w:p>
        </w:tc>
        <w:tc>
          <w:tcP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★移構16、44</w:t>
            </w:r>
          </w:p>
        </w:tc>
        <w:tc>
          <w:tcPr>
            <w:gridSpan w:val="3"/>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外觀無顯著裂痕、變形、損傷及腐蝕</w:t>
            </w:r>
            <w:sdt>
              <w:sdtPr>
                <w:tag w:val="goog_rdk_2"/>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27" w:hRule="atLeast"/>
          <w:tblHeader w:val="0"/>
        </w:trPr>
        <w:tc>
          <w:tcPr>
            <w:vMerge w:val="continue"/>
            <w:vAlign w:val="cente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w:t>
            </w:r>
            <w:sdt>
              <w:sdtPr>
                <w:tag w:val="goog_rdk_3"/>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外伸撐座</w:t>
                </w:r>
              </w:sdtContent>
            </w:sdt>
            <w:r w:rsidDel="00000000" w:rsidR="00000000" w:rsidRPr="00000000">
              <w:rPr>
                <w:rtl w:val="0"/>
              </w:rPr>
            </w:r>
          </w:p>
        </w:tc>
        <w:tc>
          <w:tcP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w:t>
            </w:r>
          </w:p>
        </w:tc>
        <w:tc>
          <w:tcPr>
            <w:gridSpan w:val="3"/>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撐樑、樑箱及腳墊浮板外觀無龜裂、變形等</w:t>
            </w:r>
            <w:sdt>
              <w:sdtPr>
                <w:tag w:val="goog_rdk_4"/>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40" w:hRule="atLeast"/>
          <w:tblHeader w:val="0"/>
        </w:trPr>
        <w:tc>
          <w:tcPr>
            <w:vMerge w:val="continue"/>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00" w:right="10" w:hanging="5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4.起伏油壓缸</w:t>
            </w:r>
          </w:p>
        </w:tc>
        <w:tc>
          <w:tcPr>
            <w:vAlign w:val="cente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★移構16、27</w:t>
            </w:r>
          </w:p>
        </w:tc>
        <w:tc>
          <w:tcPr>
            <w:gridSpan w:val="3"/>
            <w:vAlign w:val="cente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無刮傷、變形及顯著漏油。</w:t>
            </w:r>
          </w:p>
        </w:tc>
        <w:tc>
          <w:tcP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52" w:hRule="atLeast"/>
          <w:tblHeader w:val="0"/>
        </w:trPr>
        <w:tc>
          <w:tcPr>
            <w:vMerge w:val="restart"/>
            <w:tcBorders>
              <w:top w:color="000000" w:space="0" w:sz="4" w:val="single"/>
            </w:tcBorders>
            <w:vAlign w:val="cente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二、機械、電氣部分</w:t>
            </w:r>
            <w:r w:rsidDel="00000000" w:rsidR="00000000" w:rsidRPr="00000000">
              <w:rPr>
                <w:rtl w:val="0"/>
              </w:rPr>
            </w:r>
          </w:p>
        </w:tc>
        <w:tc>
          <w:tcPr>
            <w:vAlign w:val="cente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1.原動機</w:t>
            </w:r>
          </w:p>
        </w:tc>
        <w:tc>
          <w:tcPr>
            <w:vAlign w:val="center"/>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移構21、44</w:t>
            </w:r>
          </w:p>
        </w:tc>
        <w:tc>
          <w:tcPr>
            <w:gridSpan w:val="3"/>
            <w:vAlign w:val="cente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無異常音響，固定良好。</w:t>
            </w:r>
          </w:p>
        </w:tc>
        <w:tc>
          <w:tcP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2.動力傳導裝置</w:t>
            </w:r>
          </w:p>
        </w:tc>
        <w:tc>
          <w:tcP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★移構21、44</w:t>
            </w:r>
          </w:p>
        </w:tc>
        <w:tc>
          <w:tcPr>
            <w:gridSpan w:val="3"/>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無異常音響，運轉良好。</w:t>
            </w:r>
          </w:p>
        </w:tc>
        <w:tc>
          <w:tcP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50" w:hRule="atLeast"/>
          <w:tblHeader w:val="0"/>
        </w:trPr>
        <w:tc>
          <w:tcPr>
            <w:vMerge w:val="continue"/>
            <w:tcBorders>
              <w:top w:color="000000" w:space="0" w:sz="4" w:val="single"/>
            </w:tcBorders>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w:t>
            </w:r>
            <w:sdt>
              <w:sdtPr>
                <w:tag w:val="goog_rdk_5"/>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油壓裝置</w:t>
                </w:r>
              </w:sdtContent>
            </w:sdt>
            <w:r w:rsidDel="00000000" w:rsidR="00000000" w:rsidRPr="00000000">
              <w:rPr>
                <w:rtl w:val="0"/>
              </w:rPr>
            </w:r>
          </w:p>
        </w:tc>
        <w:tc>
          <w:tcPr>
            <w:vAlign w:val="cente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0" w:hanging="200"/>
              <w:jc w:val="both"/>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油壓</w:t>
            </w:r>
            <w:sdt>
              <w:sdtPr>
                <w:tag w:val="goog_rdk_6"/>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管路固定無鬆脫、凹陷、龜裂及漏油(含油壓缸)現象</w:t>
                </w:r>
              </w:sdtContent>
            </w:sdt>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w:t>
            </w:r>
            <w:r w:rsidDel="00000000" w:rsidR="00000000" w:rsidRPr="00000000">
              <w:rPr>
                <w:rtl w:val="0"/>
              </w:rPr>
            </w:r>
          </w:p>
        </w:tc>
        <w:tc>
          <w:tcP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4.制動裝置</w:t>
            </w:r>
          </w:p>
        </w:tc>
        <w:tc>
          <w:tcP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2" w:right="10" w:hanging="7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w:t>
            </w:r>
          </w:p>
        </w:tc>
        <w:tc>
          <w:tcPr>
            <w:gridSpan w:val="3"/>
            <w:vAlign w:val="center"/>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起重機動力被遮斷時能自行制動。</w:t>
            </w:r>
          </w:p>
        </w:tc>
        <w:tc>
          <w:tcP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86" w:hRule="atLeast"/>
          <w:tblHeader w:val="0"/>
        </w:trPr>
        <w:tc>
          <w:tcPr>
            <w:vMerge w:val="continue"/>
            <w:tcBorders>
              <w:top w:color="000000" w:space="0" w:sz="4" w:val="single"/>
            </w:tcBorders>
            <w:vAlign w:val="cente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5.捲胴、槽輪</w:t>
            </w:r>
          </w:p>
        </w:tc>
        <w:tc>
          <w:tcPr>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無明顯龜裂、變形及磨損;防止鋼索脫出</w:t>
            </w:r>
            <w:sdt>
              <w:sdtPr>
                <w:tag w:val="goog_rdk_7"/>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槽溝阻擋裝置機能良好</w:t>
                </w:r>
              </w:sdtContent>
            </w:sdt>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w:t>
            </w:r>
          </w:p>
        </w:tc>
        <w:tc>
          <w:tcPr>
            <w:tcBorders>
              <w:bottom w:color="000000" w:space="0" w:sz="6" w:val="single"/>
            </w:tcBorders>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6.旋轉支持體</w:t>
            </w:r>
          </w:p>
        </w:tc>
        <w:tc>
          <w:tcPr>
            <w:vAlign w:val="cente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★移構27、44</w:t>
            </w:r>
          </w:p>
        </w:tc>
        <w:tc>
          <w:tcPr>
            <w:gridSpan w:val="3"/>
            <w:tcBorders>
              <w:right w:color="000000" w:space="0" w:sz="8" w:val="single"/>
            </w:tcBorders>
            <w:vAlign w:val="center"/>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旋轉無異常噪音、上部旋轉體無明顯擺動</w:t>
            </w:r>
            <w:sdt>
              <w:sdtPr>
                <w:tag w:val="goog_rdk_8"/>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tcBorders>
              <w:top w:color="000000" w:space="0" w:sz="6" w:val="single"/>
              <w:left w:color="000000" w:space="0" w:sz="8" w:val="single"/>
              <w:bottom w:color="000000" w:space="0" w:sz="8" w:val="single"/>
            </w:tcBorders>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7.操縱裝置及控制裝置</w:t>
            </w:r>
          </w:p>
        </w:tc>
        <w:tc>
          <w:tcPr>
            <w:vAlign w:val="center"/>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Wingdings 3" w:cs="Wingdings 3" w:eastAsia="Wingdings 3" w:hAnsi="Wingdings 3"/>
                <w:b w:val="0"/>
                <w:i w:val="0"/>
                <w:smallCaps w:val="0"/>
                <w:strike w:val="0"/>
                <w:color w:val="000000"/>
                <w:sz w:val="16"/>
                <w:szCs w:val="16"/>
                <w:u w:val="none"/>
                <w:shd w:fill="auto" w:val="clear"/>
                <w:vertAlign w:val="baseline"/>
                <w:rtl w:val="0"/>
              </w:rPr>
              <w:t xml:space="preserve">△</w:t>
            </w: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移構39                           </w:t>
            </w:r>
          </w:p>
        </w:tc>
        <w:tc>
          <w:tcPr>
            <w:gridSpan w:val="3"/>
            <w:tcBorders>
              <w:right w:color="000000" w:space="0" w:sz="8" w:val="single"/>
            </w:tcBorders>
            <w:vAlign w:val="cente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2" w:right="11" w:hanging="32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(1)吊升、起伏及伸縮裝置之操作部分，應標示動作種別、方向及停止位置標示明確。</w:t>
            </w:r>
          </w:p>
        </w:tc>
        <w:tc>
          <w:tcPr>
            <w:tcBorders>
              <w:top w:color="000000" w:space="0" w:sz="8" w:val="single"/>
              <w:left w:color="000000" w:space="0" w:sz="8" w:val="single"/>
              <w:bottom w:color="000000" w:space="0" w:sz="6" w:val="single"/>
            </w:tcBorders>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移構39</w:t>
            </w:r>
          </w:p>
        </w:tc>
        <w:tc>
          <w:tcPr>
            <w:gridSpan w:val="3"/>
            <w:vAlign w:val="center"/>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6" w:right="0" w:hanging="306"/>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(2)作動圓滑，功能正常。捲揚動力切換裝置，具有防止吊鉤自由落下。</w:t>
            </w:r>
          </w:p>
        </w:tc>
        <w:tc>
          <w:tcPr>
            <w:tcBorders>
              <w:top w:color="000000" w:space="0" w:sz="6" w:val="single"/>
            </w:tcBorders>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8.吊鉤、吊具等</w:t>
            </w:r>
          </w:p>
        </w:tc>
        <w:tc>
          <w:tcP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CNS 5394</w:t>
            </w:r>
          </w:p>
        </w:tc>
        <w:tc>
          <w:tcPr>
            <w:gridSpan w:val="3"/>
            <w:vAlign w:val="cente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0" w:right="11" w:hanging="3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(1)吊鉤應鍛造成形,能自由圓滑轉動,並不得有焊補、電鍍等改造及龜裂或顯著之腐蝕。磨</w:t>
            </w: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耗</w:t>
            </w: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量及變形量符合規定值。</w:t>
            </w:r>
          </w:p>
        </w:tc>
        <w:tc>
          <w:tcPr>
            <w:tcBorders>
              <w:top w:color="000000" w:space="0" w:sz="6" w:val="single"/>
            </w:tcBorders>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tcBorders>
              <w:top w:color="000000" w:space="0" w:sz="4" w:val="single"/>
            </w:tcBorders>
            <w:vAlign w:val="cente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r w:rsidDel="00000000" w:rsidR="00000000" w:rsidRPr="00000000">
              <w:rPr>
                <w:rtl w:val="0"/>
              </w:rPr>
            </w:r>
          </w:p>
        </w:tc>
        <w:tc>
          <w:tcPr>
            <w:gridSpan w:val="3"/>
            <w:vAlign w:val="cente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(2)吊具外觀無顯著之變形、裂痕。</w:t>
            </w:r>
          </w:p>
        </w:tc>
        <w:tc>
          <w:tcPr>
            <w:tcBorders>
              <w:top w:color="000000" w:space="0" w:sz="6" w:val="single"/>
            </w:tcBorders>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602" w:hRule="atLeast"/>
          <w:tblHeader w:val="0"/>
        </w:trPr>
        <w:tc>
          <w:tcPr>
            <w:vMerge w:val="restart"/>
            <w:vAlign w:val="cente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三、安全裝置</w:t>
            </w:r>
            <w:r w:rsidDel="00000000" w:rsidR="00000000" w:rsidRPr="00000000">
              <w:rPr>
                <w:rtl w:val="0"/>
              </w:rPr>
            </w:r>
          </w:p>
        </w:tc>
        <w:tc>
          <w:tcPr>
            <w:vMerge w:val="restart"/>
            <w:vAlign w:val="cente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0" w:right="10" w:hanging="20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1.過捲預防或警報裝置</w:t>
            </w:r>
          </w:p>
        </w:tc>
        <w:tc>
          <w:tcPr>
            <w:vMerge w:val="restart"/>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移構28、29、30</w:t>
            </w:r>
          </w:p>
        </w:tc>
        <w:tc>
          <w:tcPr>
            <w:gridSpan w:val="3"/>
            <w:tcBorders>
              <w:bottom w:color="000000" w:space="0" w:sz="4"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12" w:right="11" w:hanging="312"/>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w:t>
            </w:r>
            <w:sdt>
              <w:sdtPr>
                <w:tag w:val="goog_rdk_9"/>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過捲預防或警報裝置具自動遮斷動力及制動或發出警報音響機能，作動位置正確易於檢點及堅固之構造。</w:t>
                </w:r>
              </w:sdtContent>
            </w:sdt>
          </w:p>
        </w:tc>
        <w:tc>
          <w:tcPr>
            <w:tcBorders>
              <w:bottom w:color="000000" w:space="0" w:sz="4" w:val="single"/>
            </w:tcBorders>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107" w:hRule="atLeast"/>
          <w:tblHeader w:val="0"/>
        </w:trPr>
        <w:tc>
          <w:tcPr>
            <w:vMerge w:val="continue"/>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gridSpan w:val="3"/>
            <w:tcBorders>
              <w:top w:color="000000" w:space="0" w:sz="4" w:val="single"/>
            </w:tcBorders>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11" w:firstLine="6"/>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(2)起伏限制功能正常，安裝部無損傷、鬆動現象。</w:t>
            </w:r>
          </w:p>
        </w:tc>
        <w:tc>
          <w:tcPr>
            <w:tcBorders>
              <w:top w:color="000000" w:space="0" w:sz="4" w:val="single"/>
            </w:tcBorders>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22" w:hRule="atLeast"/>
          <w:tblHeader w:val="0"/>
        </w:trPr>
        <w:tc>
          <w:tcPr>
            <w:vMerge w:val="continue"/>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6" w:right="10" w:hanging="156"/>
              <w:jc w:val="both"/>
              <w:rPr>
                <w:rFonts w:ascii="DFKai-SB" w:cs="DFKai-SB" w:eastAsia="DFKai-SB" w:hAnsi="DFKai-SB"/>
                <w:b w:val="0"/>
                <w:i w:val="0"/>
                <w:smallCaps w:val="0"/>
                <w:strike w:val="0"/>
                <w:color w:val="000000"/>
                <w:sz w:val="18"/>
                <w:szCs w:val="18"/>
                <w:u w:val="none"/>
                <w:shd w:fill="auto" w:val="clear"/>
                <w:vertAlign w:val="baseline"/>
              </w:rPr>
            </w:pPr>
            <w:sdt>
              <w:sdtPr>
                <w:tag w:val="goog_rdk_10"/>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2.伸臂背向止動裝置</w:t>
                </w:r>
              </w:sdtContent>
            </w:sdt>
            <w:r w:rsidDel="00000000" w:rsidR="00000000" w:rsidRPr="00000000">
              <w:rPr>
                <w:rtl w:val="0"/>
              </w:rPr>
            </w:r>
          </w:p>
        </w:tc>
        <w:tc>
          <w:tcP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r w:rsidDel="00000000" w:rsidR="00000000" w:rsidRPr="00000000">
              <w:rPr>
                <w:rtl w:val="0"/>
              </w:rPr>
            </w:r>
          </w:p>
        </w:tc>
        <w:tc>
          <w:tcPr>
            <w:gridSpan w:val="3"/>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00" w:right="0" w:hanging="300"/>
              <w:jc w:val="left"/>
              <w:rPr>
                <w:rFonts w:ascii="DFKai-SB" w:cs="DFKai-SB" w:eastAsia="DFKai-SB" w:hAnsi="DFKai-SB"/>
                <w:b w:val="0"/>
                <w:i w:val="0"/>
                <w:smallCaps w:val="0"/>
                <w:strike w:val="1"/>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背向止動裝置具有充分強度，無顯著變形、裂痕影響安全動作。</w:t>
            </w:r>
            <w:r w:rsidDel="00000000" w:rsidR="00000000" w:rsidRPr="00000000">
              <w:rPr>
                <w:rtl w:val="0"/>
              </w:rPr>
            </w:r>
          </w:p>
        </w:tc>
        <w:tc>
          <w:tcPr>
            <w:vAlign w:val="center"/>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537" w:hRule="atLeast"/>
          <w:tblHeader w:val="0"/>
        </w:trPr>
        <w:tc>
          <w:tcPr>
            <w:vMerge w:val="continue"/>
            <w:vAlign w:val="center"/>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3.過負荷預防</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  或警報裝置</w:t>
            </w:r>
          </w:p>
        </w:tc>
        <w:tc>
          <w:tcP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12" w:right="10" w:hanging="7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移構31</w:t>
            </w:r>
          </w:p>
        </w:tc>
        <w:tc>
          <w:tcPr>
            <w:gridSpan w:val="3"/>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1"/>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超過額定荷重時能立即自動停止動作或在超過額定荷重前能發出警報聲響或以其他替代裝置。</w:t>
                </w:r>
              </w:sdtContent>
            </w:sdt>
          </w:p>
        </w:tc>
        <w:tc>
          <w:tcP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4.伸臂角度計</w:t>
            </w:r>
          </w:p>
        </w:tc>
        <w:tc>
          <w:tcP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12" w:right="10" w:hanging="512"/>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移構32</w:t>
            </w:r>
          </w:p>
        </w:tc>
        <w:tc>
          <w:tcPr>
            <w:gridSpan w:val="3"/>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2"/>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應設易見處，且機能正常。</w:t>
                </w:r>
              </w:sdtContent>
            </w:sdt>
          </w:p>
        </w:tc>
        <w:tc>
          <w:tcP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0" w:hRule="atLeast"/>
          <w:tblHeader w:val="0"/>
        </w:trPr>
        <w:tc>
          <w:tcPr>
            <w:vMerge w:val="continue"/>
            <w:vAlign w:val="cente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5.防止脫落裝置</w:t>
            </w:r>
          </w:p>
        </w:tc>
        <w:tc>
          <w:tcP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移構36</w:t>
            </w:r>
          </w:p>
        </w:tc>
        <w:tc>
          <w:tcPr>
            <w:gridSpan w:val="3"/>
            <w:vAlign w:val="center"/>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sdt>
              <w:sdtPr>
                <w:tag w:val="goog_rdk_13"/>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構件良好，功能正常。</w:t>
                </w:r>
              </w:sdtContent>
            </w:sdt>
            <w:r w:rsidDel="00000000" w:rsidR="00000000" w:rsidRPr="00000000">
              <w:rPr>
                <w:rtl w:val="0"/>
              </w:rPr>
            </w:r>
          </w:p>
        </w:tc>
        <w:tc>
          <w:tcP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57" w:hRule="atLeast"/>
          <w:tblHeader w:val="0"/>
        </w:trPr>
        <w:tc>
          <w:tcPr>
            <w:vMerge w:val="continue"/>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01" w:right="10" w:hanging="601"/>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w:t>
            </w: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棘爪、棘輪</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移構27</w:t>
            </w:r>
          </w:p>
        </w:tc>
        <w:tc>
          <w:tcPr>
            <w:gridSpan w:val="3"/>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20"/>
                <w:szCs w:val="20"/>
                <w:u w:val="none"/>
                <w:shd w:fill="auto" w:val="clear"/>
                <w:vertAlign w:val="baseline"/>
              </w:rPr>
            </w:pPr>
            <w:sdt>
              <w:sdtPr>
                <w:tag w:val="goog_rdk_14"/>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構件良好，功能正常。</w:t>
                </w:r>
              </w:sdtContent>
            </w:sdt>
            <w:r w:rsidDel="00000000" w:rsidR="00000000" w:rsidRPr="00000000">
              <w:rPr>
                <w:rtl w:val="0"/>
              </w:rPr>
            </w:r>
          </w:p>
        </w:tc>
        <w:tc>
          <w:tcPr>
            <w:vAlign w:val="cente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restart"/>
            <w:vAlign w:val="cente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四、</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DFKai-SB" w:cs="DFKai-SB" w:eastAsia="DFKai-SB" w:hAnsi="DFKai-SB"/>
                <w:b w:val="0"/>
                <w:i w:val="0"/>
                <w:smallCaps w:val="0"/>
                <w:strike w:val="0"/>
                <w:color w:val="000000"/>
                <w:sz w:val="24"/>
                <w:szCs w:val="24"/>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鋼索及鏈條</w:t>
            </w:r>
            <w:r w:rsidDel="00000000" w:rsidR="00000000" w:rsidRPr="00000000">
              <w:rPr>
                <w:rtl w:val="0"/>
              </w:rPr>
            </w:r>
          </w:p>
        </w:tc>
        <w:tc>
          <w:tcPr>
            <w:vMerge w:val="restart"/>
            <w:vAlign w:val="cente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1.鋼索</w:t>
            </w:r>
          </w:p>
        </w:tc>
        <w:tc>
          <w:tcPr>
            <w:tcBorders>
              <w:bottom w:color="000000" w:space="0" w:sz="4" w:val="single"/>
            </w:tcBorders>
            <w:vAlign w:val="center"/>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移構45</w:t>
            </w:r>
          </w:p>
        </w:tc>
        <w:tc>
          <w:tcPr>
            <w:gridSpan w:val="3"/>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13" w:right="11" w:hanging="301"/>
              <w:jc w:val="both"/>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(1) 鋼索直徑減少未達公稱直徑之7%，一撚間無10％以上素線截斷，無顯著變形、腐蝕或扭結。實測值符合規定。</w:t>
            </w:r>
            <w:r w:rsidDel="00000000" w:rsidR="00000000" w:rsidRPr="00000000">
              <w:rPr>
                <w:rtl w:val="0"/>
              </w:rPr>
            </w:r>
          </w:p>
        </w:tc>
        <w:tc>
          <w:tcP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移構45</w:t>
            </w:r>
          </w:p>
        </w:tc>
        <w:tc>
          <w:tcPr>
            <w:gridSpan w:val="3"/>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0" w:right="11" w:hanging="18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(2)吊具或伸臂置於最低位置時，捲揚或起伏捲胴應有2捲以上鋼索。</w:t>
            </w:r>
          </w:p>
        </w:tc>
        <w:tc>
          <w:tcPr>
            <w:tcBorders>
              <w:bottom w:color="000000" w:space="0" w:sz="4" w:val="single"/>
            </w:tcBorders>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continue"/>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移構26</w:t>
            </w:r>
          </w:p>
        </w:tc>
        <w:tc>
          <w:tcPr>
            <w:gridSpan w:val="3"/>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(3)鋼索末端固定正確具防鬆或自緊性能。</w:t>
            </w:r>
          </w:p>
        </w:tc>
        <w:tc>
          <w:tcPr>
            <w:tcBorders>
              <w:bottom w:color="000000" w:space="0" w:sz="4" w:val="single"/>
            </w:tcBorders>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348" w:hRule="atLeast"/>
          <w:tblHeader w:val="0"/>
        </w:trPr>
        <w:tc>
          <w:tcPr>
            <w:vMerge w:val="continue"/>
            <w:vAlign w:val="center"/>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2.滾子鏈條</w:t>
            </w:r>
          </w:p>
        </w:tc>
        <w:tc>
          <w:tcPr>
            <w:vAlign w:val="cente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移構46</w:t>
            </w:r>
          </w:p>
        </w:tc>
        <w:tc>
          <w:tcPr>
            <w:gridSpan w:val="3"/>
            <w:vAlign w:val="cente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伸長量未超過原製造時長度2%且不得有龜裂及腐蝕現象。</w:t>
            </w:r>
          </w:p>
        </w:tc>
        <w:tc>
          <w:tcP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4" w:right="11" w:hanging="164"/>
              <w:jc w:val="left"/>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tl w:val="0"/>
              </w:rPr>
            </w:r>
          </w:p>
        </w:tc>
      </w:tr>
      <w:tr>
        <w:trPr>
          <w:cantSplit w:val="1"/>
          <w:trHeight w:val="553" w:hRule="atLeast"/>
          <w:tblHeader w:val="0"/>
        </w:trPr>
        <w:tc>
          <w:tcPr>
            <w:vMerge w:val="restart"/>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3" w:right="11" w:hanging="505"/>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五、性能檢查及荷重試驗</w:t>
            </w:r>
          </w:p>
        </w:tc>
        <w:tc>
          <w:tcP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0" w:right="0" w:hanging="160"/>
              <w:jc w:val="left"/>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1.無負荷運轉試驗</w:t>
            </w:r>
          </w:p>
        </w:tc>
        <w:tc>
          <w:tcP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安檢則27</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移構23、27</w:t>
            </w:r>
          </w:p>
        </w:tc>
        <w:tc>
          <w:tcPr>
            <w:gridSpan w:val="3"/>
            <w:vAlign w:val="center"/>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各結構部分無鬆動異音及異常之振動現象，且動力切斷吊鉤能停止。</w:t>
            </w:r>
          </w:p>
        </w:tc>
        <w:tc>
          <w:tcPr>
            <w:tcBorders>
              <w:bottom w:color="000000" w:space="0" w:sz="4" w:val="single"/>
            </w:tcBorders>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565" w:hRule="atLeast"/>
          <w:tblHeader w:val="0"/>
        </w:trPr>
        <w:tc>
          <w:tcPr>
            <w:vMerge w:val="continue"/>
            <w:vAlign w:val="center"/>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5" w:right="10" w:hanging="504"/>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2.荷重試驗</w:t>
            </w:r>
          </w:p>
        </w:tc>
        <w:tc>
          <w:tcPr>
            <w:vAlign w:val="center"/>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both"/>
              <w:rPr>
                <w:rFonts w:ascii="DFKai-SB" w:cs="DFKai-SB" w:eastAsia="DFKai-SB" w:hAnsi="DFKai-SB"/>
                <w:b w:val="0"/>
                <w:i w:val="0"/>
                <w:smallCaps w:val="0"/>
                <w:strike w:val="1"/>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安檢則27、移構27、33</w:t>
            </w:r>
            <w:r w:rsidDel="00000000" w:rsidR="00000000" w:rsidRPr="00000000">
              <w:rPr>
                <w:rtl w:val="0"/>
              </w:rPr>
            </w:r>
          </w:p>
        </w:tc>
        <w:tc>
          <w:tcPr>
            <w:gridSpan w:val="3"/>
            <w:vAlign w:val="center"/>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1"/>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所有裝置動作正常,運轉圓滑,無異常噪音。</w:t>
            </w:r>
            <w:r w:rsidDel="00000000" w:rsidR="00000000" w:rsidRPr="00000000">
              <w:rPr>
                <w:rtl w:val="0"/>
              </w:rPr>
            </w:r>
          </w:p>
        </w:tc>
        <w:tc>
          <w:tcP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897" w:hRule="atLeast"/>
          <w:tblHeader w:val="0"/>
        </w:trPr>
        <w:tc>
          <w:tcPr>
            <w:vMerge w:val="continue"/>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35" w:right="10" w:hanging="504"/>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w:t>
            </w:r>
            <w:sdt>
              <w:sdtPr>
                <w:tag w:val="goog_rdk_15"/>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制動性能試驗</w:t>
                </w:r>
              </w:sdtContent>
            </w:sdt>
            <w:r w:rsidDel="00000000" w:rsidR="00000000" w:rsidRPr="00000000">
              <w:rPr>
                <w:rtl w:val="0"/>
              </w:rPr>
            </w:r>
          </w:p>
        </w:tc>
        <w:tc>
          <w:tcPr>
            <w:tcBorders>
              <w:bottom w:color="000000" w:space="0" w:sz="6" w:val="single"/>
            </w:tcBorders>
            <w:vAlign w:val="center"/>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移構23、27、33</w:t>
            </w:r>
          </w:p>
        </w:tc>
        <w:tc>
          <w:tcPr>
            <w:gridSpan w:val="3"/>
            <w:tcBorders>
              <w:bottom w:color="000000" w:space="0" w:sz="6" w:val="single"/>
            </w:tcBorders>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18"/>
                <w:szCs w:val="18"/>
                <w:u w:val="none"/>
                <w:shd w:fill="auto" w:val="clear"/>
                <w:vertAlign w:val="baseline"/>
              </w:rPr>
            </w:pPr>
            <w:sdt>
              <w:sdtPr>
                <w:tag w:val="goog_rdk_16"/>
              </w:sdtPr>
              <w:sdtContent>
                <w:r w:rsidDel="00000000" w:rsidR="00000000" w:rsidRPr="00000000">
                  <w:rPr>
                    <w:rFonts w:ascii="Gungsuh" w:cs="Gungsuh" w:eastAsia="Gungsuh" w:hAnsi="Gungsuh"/>
                    <w:b w:val="0"/>
                    <w:i w:val="0"/>
                    <w:smallCaps w:val="0"/>
                    <w:strike w:val="0"/>
                    <w:color w:val="000000"/>
                    <w:sz w:val="18"/>
                    <w:szCs w:val="18"/>
                    <w:u w:val="none"/>
                    <w:shd w:fill="auto" w:val="clear"/>
                    <w:vertAlign w:val="baseline"/>
                    <w:rtl w:val="0"/>
                  </w:rPr>
                  <w:t xml:space="preserve">荷重吊舉時遮斷動力各動作能確實安全剎車。</w:t>
                </w:r>
              </w:sdtContent>
            </w:sdt>
          </w:p>
        </w:tc>
        <w:tc>
          <w:tcPr>
            <w:tcBorders>
              <w:bottom w:color="000000" w:space="0" w:sz="6" w:val="single"/>
            </w:tcBorders>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284" w:hRule="atLeast"/>
          <w:tblHeader w:val="0"/>
        </w:trPr>
        <w:tc>
          <w:tcPr>
            <w:vMerge w:val="restart"/>
            <w:tcBorders>
              <w:top w:color="000000" w:space="0" w:sz="6" w:val="single"/>
            </w:tcBorders>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六、其他</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1.標示</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16"/>
                <w:szCs w:val="16"/>
                <w:u w:val="none"/>
                <w:shd w:fill="auto" w:val="clear"/>
                <w:vertAlign w:val="baseline"/>
              </w:rPr>
            </w:pPr>
            <w:r w:rsidDel="00000000" w:rsidR="00000000" w:rsidRPr="00000000">
              <w:rPr>
                <w:rFonts w:ascii="Wingdings 3" w:cs="Wingdings 3" w:eastAsia="Wingdings 3" w:hAnsi="Wingdings 3"/>
                <w:b w:val="0"/>
                <w:i w:val="0"/>
                <w:smallCaps w:val="0"/>
                <w:strike w:val="0"/>
                <w:color w:val="000000"/>
                <w:sz w:val="16"/>
                <w:szCs w:val="16"/>
                <w:u w:val="none"/>
                <w:shd w:fill="auto" w:val="clear"/>
                <w:vertAlign w:val="baseline"/>
                <w:rtl w:val="0"/>
              </w:rPr>
              <w:t xml:space="preserve">△</w:t>
            </w:r>
            <w:r w:rsidDel="00000000" w:rsidR="00000000" w:rsidRPr="00000000">
              <w:rPr>
                <w:rFonts w:ascii="DFKai-SB" w:cs="DFKai-SB" w:eastAsia="DFKai-SB" w:hAnsi="DFKai-SB"/>
                <w:b w:val="0"/>
                <w:i w:val="0"/>
                <w:smallCaps w:val="0"/>
                <w:strike w:val="0"/>
                <w:color w:val="000000"/>
                <w:sz w:val="16"/>
                <w:szCs w:val="16"/>
                <w:u w:val="none"/>
                <w:shd w:fill="auto" w:val="clear"/>
                <w:vertAlign w:val="baseline"/>
                <w:rtl w:val="0"/>
              </w:rPr>
              <w:t xml:space="preserve">移構47、安檢則26</w:t>
            </w:r>
          </w:p>
        </w:tc>
        <w:tc>
          <w:tcPr>
            <w:gridSpan w:val="3"/>
            <w:tcBorders>
              <w:top w:color="000000" w:space="0" w:sz="6" w:val="single"/>
            </w:tcBorders>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both"/>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適當位置有荷重性能表；明顯處標示打印編號、吊升荷重等。</w:t>
            </w:r>
            <w:r w:rsidDel="00000000" w:rsidR="00000000" w:rsidRPr="00000000">
              <w:rPr>
                <w:rtl w:val="0"/>
              </w:rPr>
            </w:r>
          </w:p>
        </w:tc>
        <w:tc>
          <w:tcPr>
            <w:tcBorders>
              <w:top w:color="000000" w:space="0" w:sz="6" w:val="single"/>
            </w:tcBorders>
            <w:vAlign w:val="center"/>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471" w:hRule="atLeast"/>
          <w:tblHeader w:val="0"/>
        </w:trPr>
        <w:tc>
          <w:tcPr>
            <w:vMerge w:val="continue"/>
            <w:tcBorders>
              <w:top w:color="000000" w:space="0" w:sz="6" w:val="single"/>
            </w:tcBorders>
            <w:vAlign w:val="center"/>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2.其他</w:t>
            </w:r>
          </w:p>
        </w:tc>
        <w:tc>
          <w:tcPr>
            <w:gridSpan w:val="4"/>
            <w:tcBorders>
              <w:bottom w:color="000000" w:space="0" w:sz="4" w:val="single"/>
              <w:right w:color="000000" w:space="0" w:sz="4" w:val="single"/>
            </w:tcBorders>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both"/>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r>
      <w:tr>
        <w:trPr>
          <w:cantSplit w:val="1"/>
          <w:trHeight w:val="480" w:hRule="atLeast"/>
          <w:tblHeader w:val="0"/>
        </w:trPr>
        <w:tc>
          <w:tcPr>
            <w:vMerge w:val="continue"/>
            <w:tcBorders>
              <w:top w:color="000000" w:space="0" w:sz="6" w:val="single"/>
            </w:tcBorders>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bottom w:color="000000" w:space="0" w:sz="12" w:val="single"/>
            </w:tcBorders>
            <w:vAlign w:val="center"/>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3.實測值 </w:t>
            </w:r>
          </w:p>
        </w:tc>
        <w:tc>
          <w:tcPr>
            <w:gridSpan w:val="5"/>
            <w:tcBorders>
              <w:top w:color="000000" w:space="0" w:sz="4" w:val="single"/>
              <w:bottom w:color="000000" w:space="0" w:sz="12" w:val="single"/>
            </w:tcBorders>
            <w:vAlign w:val="center"/>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sdt>
              <w:sdtPr>
                <w:tag w:val="goog_rdk_17"/>
              </w:sdtPr>
              <w:sdtContent>
                <w:r w:rsidDel="00000000" w:rsidR="00000000" w:rsidRPr="00000000">
                  <w:rPr>
                    <w:rFonts w:ascii="Gungsuh" w:cs="Gungsuh" w:eastAsia="Gungsuh" w:hAnsi="Gungsuh"/>
                    <w:b w:val="0"/>
                    <w:i w:val="0"/>
                    <w:smallCaps w:val="0"/>
                    <w:strike w:val="0"/>
                    <w:color w:val="000000"/>
                    <w:sz w:val="20"/>
                    <w:szCs w:val="20"/>
                    <w:u w:val="none"/>
                    <w:shd w:fill="auto" w:val="clear"/>
                    <w:vertAlign w:val="baseline"/>
                    <w:rtl w:val="0"/>
                  </w:rPr>
                  <w:t xml:space="preserve">詳如附表。</w:t>
                </w:r>
              </w:sdtContent>
            </w:sdt>
          </w:p>
        </w:tc>
      </w:tr>
    </w:tbl>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備註：1.「安檢則」指危險性機械及設備安全檢查規則;「移構」指移動式起重機安全檢查構造標準;「CNS」指國家標準。</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18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2.「★」可依事業單位「自動檢查紀錄」予以認定，並將其文件資料一併陳判。</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16"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3.「△」為次要缺失，得通知改善，如至下次檢查仍未改善者，判定為「不合格」。</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18"/>
          <w:szCs w:val="18"/>
          <w:u w:val="none"/>
          <w:shd w:fill="auto" w:val="clear"/>
          <w:vertAlign w:val="baseline"/>
          <w:rtl w:val="0"/>
        </w:rPr>
        <w:t xml:space="preserve">4. 檢查結果欄，符合者打「ˇ」、無該項者打「/」、引用「自動檢查紀錄」打「○」、不符合者打「X」並於不符項目中詳述。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4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18"/>
          <w:szCs w:val="18"/>
          <w:u w:val="none"/>
          <w:shd w:fill="auto" w:val="clear"/>
          <w:vertAlign w:val="baseline"/>
        </w:rPr>
      </w:pPr>
      <w:r w:rsidDel="00000000" w:rsidR="00000000" w:rsidRPr="00000000">
        <w:rPr>
          <w:rFonts w:ascii="DFKai-SB" w:cs="DFKai-SB" w:eastAsia="DFKai-SB" w:hAnsi="DFKai-SB"/>
          <w:b w:val="0"/>
          <w:i w:val="0"/>
          <w:smallCaps w:val="0"/>
          <w:strike w:val="0"/>
          <w:color w:val="000000"/>
          <w:sz w:val="24"/>
          <w:szCs w:val="24"/>
          <w:u w:val="none"/>
          <w:shd w:fill="auto" w:val="clear"/>
          <w:vertAlign w:val="baseline"/>
          <w:rtl w:val="0"/>
        </w:rPr>
        <w:t xml:space="preserve">會談紀錄重要提示事項、不符項目、應補充資料及會同檢查人員意見</w:t>
      </w:r>
      <w:r w:rsidDel="00000000" w:rsidR="00000000" w:rsidRPr="00000000">
        <w:rPr>
          <w:rtl w:val="0"/>
        </w:rPr>
      </w:r>
    </w:p>
    <w:tbl>
      <w:tblPr>
        <w:tblStyle w:val="Table3"/>
        <w:tblW w:w="10321.000000000002"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6804"/>
        <w:gridCol w:w="797"/>
        <w:gridCol w:w="902"/>
        <w:gridCol w:w="1097"/>
        <w:gridCol w:w="721"/>
        <w:tblGridChange w:id="0">
          <w:tblGrid>
            <w:gridCol w:w="6804"/>
            <w:gridCol w:w="797"/>
            <w:gridCol w:w="902"/>
            <w:gridCol w:w="1097"/>
            <w:gridCol w:w="721"/>
          </w:tblGrid>
        </w:tblGridChange>
      </w:tblGrid>
      <w:tr>
        <w:trPr>
          <w:cantSplit w:val="1"/>
          <w:tblHeader w:val="0"/>
        </w:trPr>
        <w:tc>
          <w:tcPr>
            <w:gridSpan w:val="5"/>
            <w:tcBorders>
              <w:top w:color="000000" w:space="0" w:sz="12" w:val="single"/>
              <w:bottom w:color="000000" w:space="0" w:sz="8" w:val="single"/>
            </w:tcBorders>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重要提示事項及應補送資料</w:t>
            </w:r>
          </w:p>
        </w:tc>
      </w:tr>
      <w:tr>
        <w:trPr>
          <w:cantSplit w:val="1"/>
          <w:trHeight w:val="1312" w:hRule="atLeast"/>
          <w:tblHeader w:val="0"/>
        </w:trPr>
        <w:tc>
          <w:tcPr>
            <w:gridSpan w:val="5"/>
            <w:tcBorders>
              <w:top w:color="000000" w:space="0" w:sz="8" w:val="single"/>
              <w:bottom w:color="000000" w:space="0" w:sz="4" w:val="dashed"/>
            </w:tcBorders>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1.檢查結果： □合格  □不合格  □限制合格  □未備妥  □程序不符</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2.有關文件請於     年    月    日    時前補送至本會結案。</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  文件項目：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3.前項資料已於　　年　　月　　日　　時前送達。</w:t>
            </w:r>
          </w:p>
        </w:tc>
      </w:tr>
      <w:tr>
        <w:trPr>
          <w:cantSplit w:val="1"/>
          <w:trHeight w:val="2254" w:hRule="atLeast"/>
          <w:tblHeader w:val="0"/>
        </w:trPr>
        <w:tc>
          <w:tcPr>
            <w:tcBorders>
              <w:top w:color="000000" w:space="0" w:sz="4" w:val="dashed"/>
              <w:bottom w:color="000000" w:space="0" w:sz="4" w:val="dashed"/>
              <w:right w:color="000000" w:space="0" w:sz="4" w:val="dashed"/>
            </w:tcBorders>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4.本機具經檢查不符規定，已當場解說，請於改善完成後另案申請檢查。</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不符項目：________________________________________________________</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__________________________________________________________________</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                                                                                                                                 　　　　　　　　　　　　　　　　　　　　　　　　　　　　　　　　　　　　　　　</w:t>
            </w:r>
          </w:p>
        </w:tc>
        <w:tc>
          <w:tcPr>
            <w:gridSpan w:val="4"/>
            <w:tcBorders>
              <w:top w:color="000000" w:space="0" w:sz="4" w:val="dashed"/>
              <w:left w:color="000000" w:space="0" w:sz="4" w:val="dashed"/>
              <w:bottom w:color="000000" w:space="0" w:sz="4" w:val="dashed"/>
            </w:tcBorders>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5.重要提示事項：</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 w:right="0" w:hanging="1"/>
              <w:jc w:val="both"/>
              <w:rPr>
                <w:rFonts w:ascii="DFKai-SB" w:cs="DFKai-SB" w:eastAsia="DFKai-SB" w:hAnsi="DFKai-SB"/>
                <w:b w:val="0"/>
                <w:i w:val="0"/>
                <w:smallCaps w:val="0"/>
                <w:strike w:val="0"/>
                <w:color w:val="000000"/>
                <w:sz w:val="20"/>
                <w:szCs w:val="20"/>
                <w:u w:val="singl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single"/>
                <w:shd w:fill="auto" w:val="clear"/>
                <w:vertAlign w:val="baseline"/>
                <w:rtl w:val="0"/>
              </w:rPr>
              <w:t xml:space="preserve">                                 </w:t>
            </w:r>
          </w:p>
        </w:tc>
      </w:tr>
      <w:tr>
        <w:trPr>
          <w:cantSplit w:val="1"/>
          <w:trHeight w:val="578" w:hRule="atLeast"/>
          <w:tblHeader w:val="0"/>
        </w:trPr>
        <w:tc>
          <w:tcPr>
            <w:gridSpan w:val="5"/>
            <w:tcBorders>
              <w:top w:color="000000" w:space="0" w:sz="4" w:val="dashed"/>
              <w:bottom w:color="000000" w:space="0" w:sz="8" w:val="single"/>
            </w:tcBorders>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6.本會派員於 {{CKY}}年  {{CKM}}月  {{CKD}}日  {{INH}}時  {{INM}}分至貴單位實施檢查並經出示代行檢查證，於  {{OUTH}}時 {{OUTM}}分離開貴單位。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代檢員簽章：</w:t>
            </w:r>
          </w:p>
        </w:tc>
      </w:tr>
      <w:tr>
        <w:trPr>
          <w:cantSplit w:val="1"/>
          <w:trHeight w:val="1290" w:hRule="atLeast"/>
          <w:tblHeader w:val="0"/>
        </w:trPr>
        <w:tc>
          <w:tcPr>
            <w:gridSpan w:val="5"/>
            <w:tcBorders>
              <w:top w:color="000000" w:space="0" w:sz="8" w:val="single"/>
              <w:bottom w:color="000000" w:space="0" w:sz="12" w:val="single"/>
            </w:tcBorders>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事業單位會同檢查人員意見：</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職     稱： </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5600"/>
              <w:jc w:val="left"/>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簽     名： 　　                  年   月   日 　　       　　　　　　　　　　 </w:t>
            </w:r>
          </w:p>
        </w:tc>
      </w:tr>
      <w:tr>
        <w:trPr>
          <w:cantSplit w:val="0"/>
          <w:trHeight w:val="284" w:hRule="atLeast"/>
          <w:tblHeader w:val="0"/>
        </w:trPr>
        <w:tc>
          <w:tcPr>
            <w:gridSpan w:val="3"/>
            <w:tcBorders>
              <w:bottom w:color="000000" w:space="0" w:sz="12" w:val="single"/>
              <w:right w:color="000000" w:space="0" w:sz="12" w:val="single"/>
            </w:tcBorders>
            <w:vAlign w:val="cente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FKai-SB" w:cs="DFKai-SB" w:eastAsia="DFKai-SB" w:hAnsi="DFKai-SB"/>
                <w:b w:val="0"/>
                <w:i w:val="0"/>
                <w:smallCaps w:val="0"/>
                <w:strike w:val="0"/>
                <w:color w:val="000000"/>
                <w:sz w:val="20"/>
                <w:szCs w:val="20"/>
                <w:u w:val="none"/>
                <w:shd w:fill="auto" w:val="clear"/>
                <w:vertAlign w:val="baseline"/>
              </w:rPr>
            </w:pPr>
            <w:r w:rsidDel="00000000" w:rsidR="00000000" w:rsidRPr="00000000">
              <w:rPr>
                <w:rFonts w:ascii="DFKai-SB" w:cs="DFKai-SB" w:eastAsia="DFKai-SB" w:hAnsi="DFKai-SB"/>
                <w:b w:val="0"/>
                <w:i w:val="0"/>
                <w:smallCaps w:val="0"/>
                <w:strike w:val="0"/>
                <w:color w:val="000000"/>
                <w:sz w:val="20"/>
                <w:szCs w:val="20"/>
                <w:u w:val="none"/>
                <w:shd w:fill="auto" w:val="clear"/>
                <w:vertAlign w:val="baseline"/>
                <w:rtl w:val="0"/>
              </w:rPr>
              <w:t xml:space="preserve">表單編號</w:t>
            </w:r>
          </w:p>
        </w:tc>
        <w:tc>
          <w:tcPr>
            <w:tcBorders>
              <w:left w:color="000000" w:space="0" w:sz="12" w:val="single"/>
            </w:tcBorders>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W3-61-04E</w:t>
            </w:r>
          </w:p>
        </w:tc>
        <w:tc>
          <w:tcPr>
            <w:tcBorders>
              <w:left w:color="000000" w:space="0" w:sz="12" w:val="single"/>
            </w:tcBorders>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108.09</w:t>
            </w:r>
          </w:p>
        </w:tc>
      </w:tr>
    </w:tbl>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sectPr>
      <w:pgSz w:h="16838" w:w="11906" w:orient="portrait"/>
      <w:pgMar w:bottom="851" w:top="851" w:left="851" w:right="851"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Arial"/>
  <w:font w:name="DFKai-SB"/>
  <w:font w:name="Times New Roman"/>
  <w:font w:name="Gungsuh"/>
  <w:font w:name="Wingdings 3"/>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內文">
    <w:name w:val="內文"/>
    <w:next w:val="內文"/>
    <w:autoRedefine w:val="0"/>
    <w:hidden w:val="0"/>
    <w:qFormat w:val="0"/>
    <w:pPr>
      <w:widowControl w:val="0"/>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4"/>
      <w:szCs w:val="24"/>
      <w:effect w:val="none"/>
      <w:vertAlign w:val="baseline"/>
      <w:cs w:val="0"/>
      <w:em w:val="none"/>
      <w:lang w:bidi="ar-SA" w:eastAsia="zh-TW" w:val="en-US"/>
    </w:rPr>
  </w:style>
  <w:style w:type="character" w:styleId="預設段落字型">
    <w:name w:val="預設段落字型"/>
    <w:next w:val="預設段落字型"/>
    <w:autoRedefine w:val="0"/>
    <w:hidden w:val="0"/>
    <w:qFormat w:val="0"/>
    <w:rPr>
      <w:w w:val="100"/>
      <w:position w:val="-1"/>
      <w:effect w:val="none"/>
      <w:vertAlign w:val="baseline"/>
      <w:cs w:val="0"/>
      <w:em w:val="none"/>
      <w:lang/>
    </w:rPr>
  </w:style>
  <w:style w:type="table" w:styleId="表格內文">
    <w:name w:val="表格內文"/>
    <w:next w:val="表格內文"/>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無清單">
    <w:name w:val="無清單"/>
    <w:next w:val="無清單"/>
    <w:autoRedefine w:val="0"/>
    <w:hidden w:val="0"/>
    <w:qFormat w:val="0"/>
    <w:pPr>
      <w:suppressAutoHyphens w:val="1"/>
      <w:spacing w:line="1" w:lineRule="atLeast"/>
      <w:ind w:leftChars="-1" w:rightChars="0" w:firstLineChars="-1"/>
      <w:textDirection w:val="btLr"/>
      <w:textAlignment w:val="top"/>
      <w:outlineLvl w:val="0"/>
    </w:pPr>
  </w:style>
  <w:style w:type="paragraph" w:styleId="頁首">
    <w:name w:val="頁首"/>
    <w:basedOn w:val="內文"/>
    <w:next w:val="頁首"/>
    <w:autoRedefine w:val="0"/>
    <w:hidden w:val="0"/>
    <w:qFormat w:val="0"/>
    <w:pPr>
      <w:widowControl w:val="0"/>
      <w:tabs>
        <w:tab w:val="center" w:leader="none" w:pos="4153"/>
        <w:tab w:val="right" w:leader="none" w:pos="8306"/>
      </w:tabs>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0"/>
      <w:szCs w:val="20"/>
      <w:effect w:val="none"/>
      <w:vertAlign w:val="baseline"/>
      <w:cs w:val="0"/>
      <w:em w:val="none"/>
      <w:lang w:bidi="ar-SA" w:eastAsia="zh-TW" w:val="en-US"/>
    </w:rPr>
  </w:style>
  <w:style w:type="character" w:styleId="頁首字元">
    <w:name w:val="頁首 字元"/>
    <w:next w:val="頁首字元"/>
    <w:autoRedefine w:val="0"/>
    <w:hidden w:val="0"/>
    <w:qFormat w:val="0"/>
    <w:rPr>
      <w:rFonts w:ascii="Times New Roman" w:cs="Times New Roman" w:eastAsia="新細明體" w:hAnsi="Times New Roman"/>
      <w:w w:val="100"/>
      <w:position w:val="-1"/>
      <w:sz w:val="20"/>
      <w:szCs w:val="20"/>
      <w:effect w:val="none"/>
      <w:vertAlign w:val="baseline"/>
      <w:cs w:val="0"/>
      <w:em w:val="none"/>
      <w:lang/>
    </w:rPr>
  </w:style>
  <w:style w:type="paragraph" w:styleId="頁尾">
    <w:name w:val="頁尾"/>
    <w:basedOn w:val="內文"/>
    <w:next w:val="頁尾"/>
    <w:autoRedefine w:val="0"/>
    <w:hidden w:val="0"/>
    <w:qFormat w:val="0"/>
    <w:pPr>
      <w:widowControl w:val="0"/>
      <w:tabs>
        <w:tab w:val="center" w:leader="none" w:pos="4153"/>
        <w:tab w:val="right" w:leader="none" w:pos="8306"/>
      </w:tabs>
      <w:suppressAutoHyphens w:val="1"/>
      <w:spacing w:line="1" w:lineRule="atLeast"/>
      <w:ind w:leftChars="-1" w:rightChars="0" w:firstLineChars="-1"/>
      <w:textDirection w:val="btLr"/>
      <w:textAlignment w:val="top"/>
      <w:outlineLvl w:val="0"/>
    </w:pPr>
    <w:rPr>
      <w:rFonts w:ascii="Times New Roman" w:hAnsi="Times New Roman"/>
      <w:w w:val="100"/>
      <w:kern w:val="2"/>
      <w:position w:val="-1"/>
      <w:sz w:val="20"/>
      <w:szCs w:val="20"/>
      <w:effect w:val="none"/>
      <w:vertAlign w:val="baseline"/>
      <w:cs w:val="0"/>
      <w:em w:val="none"/>
      <w:lang w:bidi="ar-SA" w:eastAsia="zh-TW" w:val="en-US"/>
    </w:rPr>
  </w:style>
  <w:style w:type="character" w:styleId="頁尾字元">
    <w:name w:val="頁尾 字元"/>
    <w:next w:val="頁尾字元"/>
    <w:autoRedefine w:val="0"/>
    <w:hidden w:val="0"/>
    <w:qFormat w:val="0"/>
    <w:rPr>
      <w:rFonts w:ascii="Times New Roman" w:cs="Times New Roman" w:eastAsia="新細明體" w:hAnsi="Times New Roman"/>
      <w:w w:val="100"/>
      <w:position w:val="-1"/>
      <w:sz w:val="20"/>
      <w:szCs w:val="20"/>
      <w:effect w:val="none"/>
      <w:vertAlign w:val="baseline"/>
      <w:cs w:val="0"/>
      <w:em w:val="none"/>
      <w:lang/>
    </w:rPr>
  </w:style>
  <w:style w:type="paragraph" w:styleId="註解方塊文字">
    <w:name w:val="註解方塊文字"/>
    <w:basedOn w:val="內文"/>
    <w:next w:val="註解方塊文字"/>
    <w:autoRedefine w:val="0"/>
    <w:hidden w:val="0"/>
    <w:qFormat w:val="1"/>
    <w:pPr>
      <w:widowControl w:val="0"/>
      <w:suppressAutoHyphens w:val="1"/>
      <w:spacing w:line="1" w:lineRule="atLeast"/>
      <w:ind w:leftChars="-1" w:rightChars="0" w:firstLineChars="-1"/>
      <w:textDirection w:val="btLr"/>
      <w:textAlignment w:val="top"/>
      <w:outlineLvl w:val="0"/>
    </w:pPr>
    <w:rPr>
      <w:rFonts w:ascii="Cambria" w:cs="Times New Roman" w:eastAsia="新細明體" w:hAnsi="Cambria"/>
      <w:w w:val="100"/>
      <w:kern w:val="2"/>
      <w:position w:val="-1"/>
      <w:sz w:val="18"/>
      <w:szCs w:val="18"/>
      <w:effect w:val="none"/>
      <w:vertAlign w:val="baseline"/>
      <w:cs w:val="0"/>
      <w:em w:val="none"/>
      <w:lang w:bidi="ar-SA" w:eastAsia="zh-TW" w:val="en-US"/>
    </w:rPr>
  </w:style>
  <w:style w:type="character" w:styleId="註解方塊文字字元">
    <w:name w:val="註解方塊文字 字元"/>
    <w:next w:val="註解方塊文字字元"/>
    <w:autoRedefine w:val="0"/>
    <w:hidden w:val="0"/>
    <w:qFormat w:val="0"/>
    <w:rPr>
      <w:rFonts w:ascii="Cambria" w:cs="Times New Roman" w:eastAsia="新細明體" w:hAnsi="Cambria"/>
      <w:w w:val="100"/>
      <w:kern w:val="2"/>
      <w:position w:val="-1"/>
      <w:sz w:val="18"/>
      <w:szCs w:val="18"/>
      <w:effect w:val="none"/>
      <w:vertAlign w:val="baseline"/>
      <w:cs w:val="0"/>
      <w:em w:val="none"/>
      <w:lang/>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28.0" w:type="dxa"/>
        <w:bottom w:w="0.0" w:type="dxa"/>
        <w:right w:w="28.0" w:type="dxa"/>
      </w:tblCellMar>
    </w:tblPr>
  </w:style>
  <w:style w:type="table" w:styleId="Table2">
    <w:basedOn w:val="TableNormal"/>
    <w:tblPr>
      <w:tblStyleRowBandSize w:val="1"/>
      <w:tblStyleColBandSize w:val="1"/>
      <w:tblCellMar>
        <w:top w:w="0.0" w:type="dxa"/>
        <w:left w:w="28.0" w:type="dxa"/>
        <w:bottom w:w="0.0" w:type="dxa"/>
        <w:right w:w="28.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xx+DjOoaSe2qUSPIqmNHcvOH8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gAciExRDR6VU1vd2Q2TDZ2Q2NqOGdPLTBNZFZ4c3VwTEVLOW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2019-10-21T09:23:00Z</dcterms:created>
  <dc:creator>User</dc:creator>
</cp:coreProperties>
</file>