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Heading1"/>
        <w:jc w:val="center"/>
      </w:pPr>
      <w:r>
        <w:t>Panel Data Analysis Report</w:t>
      </w:r>
    </w:p>
    <w:p>
      <w:pPr>
        <w:jc w:val="center"/>
      </w:pPr>
      <w:r>
        <w:t>Generated on December 26, 2025 at 10:30 AM</w:t>
      </w:r>
    </w:p>
    <w:p/>
    <w:p>
      <w:r>
        <w:br w:type="page"/>
      </w:r>
    </w:p>
    <w:p>
      <w:pPr>
        <w:pStyle w:val="CustomHeading1"/>
      </w:pPr>
      <w:r>
        <w:t>📊 Comprehensive result</w:t>
      </w:r>
    </w:p>
    <w:p>
      <w:pPr>
        <w:pStyle w:val="ListBullet"/>
      </w:pPr>
      <w:r>
        <w:t>Generated on: 2025-12-26 10:30:24*</w:t>
      </w:r>
    </w:p>
    <w:p>
      <w:pPr>
        <w:pStyle w:val="ListBullet"/>
      </w:pPr>
      <w:r>
        <w:t>--</w:t>
      </w:r>
    </w:p>
    <w:p>
      <w:pPr>
        <w:pStyle w:val="CustomHeading2"/>
      </w:pPr>
      <w:r>
        <w:t>1. Regression results</w:t>
      </w:r>
    </w:p>
    <w:p>
      <w:r>
        <w:t>&lt;table style="border-collapse: collapse; border-top: 1px solid black; border-bottom: 1px solid black;"&gt;</w:t>
        <w:br/>
        <w:t>&lt;tr style="border-bottom: 1px solid black;"&gt;&lt;td style="padding: 4px 8px;"&gt;&lt;/td&gt;&lt;td style="padding: 4px 8px; text-align: center;"&gt;&lt;strong&gt;y&lt;/strong&gt;&lt;/td&gt;&lt;/tr&gt;</w:t>
        <w:br/>
        <w:t>&lt;tr style="border-bottom: 1px solid black;"&gt;&lt;td style="padding: 4px 8px;"&gt;&lt;/td&gt;&lt;td style="padding: 4px 8px; text-align: center;"&gt;(1)&lt;/td&gt;&lt;/tr&gt;</w:t>
        <w:br/>
        <w:t>&lt;tr&gt;&lt;td style="padding: 4px 8px;"&gt;x1&lt;/td&gt;&lt;td style="padding: 4px 8px; text-align: center;"&gt;0.733*</w:t>
      </w:r>
      <w:r>
        <w:rPr>
          <w:b/>
        </w:rPr>
        <w:t>&lt;/td&gt;&lt;/tr&gt;</w:t>
        <w:br/>
        <w:t>&lt;tr&gt;&lt;td style="padding: 4px 8px;"&gt;&lt;/td&gt;&lt;td style="padding: 4px 8px; text-align: center;"&gt;(0.018)&lt;/td&gt;&lt;/tr&gt;</w:t>
        <w:br/>
        <w:t>&lt;tr&gt;&lt;td style="padding: 4px 8px;"&gt;x2&lt;/td&gt;&lt;td style="padding: 4px 8px; text-align: center;"&gt;0.233</w:t>
      </w:r>
      <w:r>
        <w:t>*&lt;/td&gt;&lt;/tr&gt;</w:t>
        <w:br/>
        <w:t>&lt;tr&gt;&lt;td style="padding: 4px 8px;"&gt;&lt;/td&gt;&lt;td style="padding: 4px 8px; text-align: center;"&gt;(0.013)&lt;/td&gt;&lt;/tr&gt;</w:t>
        <w:br/>
        <w:t>&lt;tr&gt;&lt;td style="padding: 4px 8px;"&gt;x3&lt;/td&gt;&lt;td style="padding: 4px 8px; text-align: center;"&gt;-0.052&lt;/td&gt;&lt;/tr&gt;</w:t>
        <w:br/>
        <w:t>&lt;tr&gt;&lt;td style="padding: 4px 8px;"&gt;&lt;/td&gt;&lt;td style="padding: 4px 8px; text-align: center;"&gt;(0.020)&lt;/td&gt;&lt;/tr&gt;</w:t>
        <w:br/>
        <w:t>&lt;tr&gt;&lt;td style="padding: 4px 8px;"&gt;x1_x_x3&lt;/td&gt;&lt;td style="padding: 4px 8px; text-align: center;"&gt;-0.005&lt;/td&gt;&lt;/tr&gt;</w:t>
        <w:br/>
        <w:t>&lt;tr&gt;&lt;td style="padding: 4px 8px;"&gt;&lt;/td&gt;&lt;td style="padding: 4px 8px; text-align: center;"&gt;(0.014)&lt;/td&gt;&lt;/tr&gt;</w:t>
        <w:br/>
        <w:t>&lt;tr&gt;&lt;td style="padding: 4px 8px;"&gt;y_lag1&lt;/td&gt;&lt;td style="padding: 4px 8px; text-align: center;"&gt;-0.030*&lt;/td&gt;&lt;/tr&gt;</w:t>
        <w:br/>
        <w:t>&lt;tr&gt;&lt;td style="padding: 4px 8px;"&gt;&lt;/td&gt;&lt;td style="padding: 4px 8px; text-align: center;"&gt;(0.007)&lt;/td&gt;&lt;/tr&gt;</w:t>
        <w:br/>
        <w:t>&lt;tr&gt;&lt;td style="padding: 4px 8px;"&gt;Firm+Year FE&lt;/td&gt;&lt;td style="padding: 4px 8px; text-align: center;"&gt;✓&lt;/td&gt;&lt;/tr&gt;</w:t>
        <w:br/>
        <w:t>&lt;tr style="border-top: 1px solid black;"&gt;&lt;td style="padding: 4px 8px;"&gt;Observations&lt;/td&gt;&lt;td style="padding: 4px 8px; text-align: center;"&gt;1,100&lt;/td&gt;&lt;/tr&gt;</w:t>
        <w:br/>
        <w:t>&lt;tr&gt;&lt;td style="padding: 4px 8px;"&gt;S.E. type&lt;/td&gt;&lt;td style="padding: 4px 8px; text-align: center;"&gt;Two-way (Industry × Country) with CRV1&lt;/td&gt;&lt;/tr&gt;</w:t>
        <w:br/>
        <w:t>&lt;tr&gt;&lt;td style="padding: 4px 8px;"&gt;R²&lt;/td&gt;&lt;td style="padding: 4px 8px; text-align: center;"&gt;0.762&lt;/td&gt;&lt;/tr&gt;</w:t>
        <w:br/>
        <w:t>&lt;tr style="border-bottom: 1px solid black;"&gt;&lt;td style="padding: 4px 8px;"&gt;R² Within&lt;/td&gt;&lt;td style="padding: 4px 8px; text-align: center;"&gt;0.734&lt;/td&gt;&lt;/tr&gt;</w:t>
        <w:br/>
        <w:t>&lt;/table&gt;</w:t>
        <w:br/>
        <w:t xml:space="preserve">&lt;p style="font-size: 0.9em; margin-top: 8px;"&gt;&lt;em&gt;Significance levels: * p &lt; 0.05, </w:t>
      </w:r>
      <w:r>
        <w:rPr>
          <w:b/>
        </w:rPr>
        <w:t xml:space="preserve"> p &lt; 0.01, </w:t>
      </w:r>
      <w:r>
        <w:t>* p &lt; 0.001&lt;/em&gt;&lt;/p&gt;</w:t>
      </w:r>
    </w:p>
    <w:p>
      <w:pPr>
        <w:pStyle w:val="CustomHeading2"/>
      </w:pPr>
      <w:r>
        <w:t>Bootstrap results (wild cluster bootstrap inference)</w:t>
      </w:r>
    </w:p>
    <w:p>
      <w:r>
        <w:t>&lt;table style="border-collapse: collapse; border-top: 1px solid black; border-bottom: 1px solid black;"&gt;</w:t>
        <w:br/>
        <w:t>&lt;tr style="border-bottom: 1px solid black;"&gt;&lt;td style="padding: 4px 8px;"&gt;&lt;/td&gt;&lt;td style="padding: 4px 8px; text-align: center;"&gt;&lt;strong&gt;y&lt;/strong&gt;&lt;/td&gt;&lt;/tr&gt;</w:t>
        <w:br/>
        <w:t>&lt;tr style="border-bottom: 1px solid black;"&gt;&lt;td style="padding: 4px 8px;"&gt;&lt;/td&gt;&lt;td style="padding: 4px 8px; text-align: center;"&gt;(1)&lt;/td&gt;&lt;/tr&gt;</w:t>
        <w:br/>
        <w:t>&lt;tr&gt;&lt;td style="padding: 4px 8px;"&gt;x1&lt;/td&gt;&lt;td style="padding: 4px 8px; text-align: center;"&gt;0.733*</w:t>
      </w:r>
      <w:r>
        <w:rPr>
          <w:b/>
        </w:rPr>
        <w:t>&lt;/td&gt;&lt;/tr&gt;</w:t>
        <w:br/>
        <w:t>&lt;tr&gt;&lt;td style="padding: 4px 8px;"&gt;&lt;/td&gt;&lt;td style="padding: 4px 8px; text-align: center;"&gt;(0.018)&lt;/td&gt;&lt;/tr&gt;</w:t>
        <w:br/>
        <w:t>&lt;tr&gt;&lt;td style="padding: 4px 8px;"&gt;x1_x_x3&lt;/td&gt;&lt;td style="padding: 4px 8px; text-align: center;"&gt;-0.005&lt;/td&gt;&lt;/tr&gt;</w:t>
        <w:br/>
        <w:t>&lt;tr&gt;&lt;td style="padding: 4px 8px;"&gt;&lt;/td&gt;&lt;td style="padding: 4px 8px; text-align: center;"&gt;(0.014)&lt;/td&gt;&lt;/tr&gt;</w:t>
        <w:br/>
        <w:t>&lt;tr&gt;&lt;td style="padding: 4px 8px;"&gt;y_lag1&lt;/td&gt;&lt;td style="padding: 4px 8px; text-align: center;"&gt;-0.030</w:t>
      </w:r>
      <w:r>
        <w:t>*&lt;/td&gt;&lt;/tr&gt;</w:t>
        <w:br/>
        <w:t>&lt;tr&gt;&lt;td style="padding: 4px 8px;"&gt;&lt;/td&gt;&lt;td style="padding: 4px 8px; text-align: center;"&gt;(0.007)&lt;/td&gt;&lt;/tr&gt;</w:t>
        <w:br/>
        <w:t>&lt;tr&gt;&lt;td style="padding: 4px 8px;"&gt;Firm+Year FE&lt;/td&gt;&lt;td style="padding: 4px 8px; text-align: center;"&gt;✓&lt;/td&gt;&lt;/tr&gt;</w:t>
        <w:br/>
        <w:t>&lt;tr style="border-top: 1px solid black;"&gt;&lt;td style="padding: 4px 8px;"&gt;Observations&lt;/td&gt;&lt;td style="padding: 4px 8px; text-align: center;"&gt;1,100&lt;/td&gt;&lt;/tr&gt;</w:t>
        <w:br/>
        <w:t>&lt;tr&gt;&lt;td style="padding: 4px 8px;"&gt;Bootstrap Method&lt;/td&gt;&lt;td style="padding: 4px 8px; text-align: center; font-size: 0.85em;"&gt;Wild Cluster Bootstrap (WCR31) - Bootstrapped on 'exchange' (G=5), Preserves 'industry' (G=5) correlation, 32 reps&lt;/td&gt;&lt;/tr&gt;</w:t>
        <w:br/>
        <w:t>&lt;tr&gt;&lt;td style="padding: 4px 8px;"&gt;R²&lt;/td&gt;&lt;td style="padding: 4px 8px; text-align: center;"&gt;0.762&lt;/td&gt;&lt;/tr&gt;</w:t>
        <w:br/>
        <w:t>&lt;tr style="border-bottom: 1px solid black;"&gt;&lt;td style="padding: 4px 8px;"&gt;R² Within&lt;/td&gt;&lt;td style="padding: 4px 8px; text-align: center;"&gt;0.734&lt;/td&gt;&lt;/tr&gt;</w:t>
        <w:br/>
        <w:t>&lt;/table&gt;</w:t>
        <w:br/>
        <w:t xml:space="preserve">&lt;p style="font-size: 0.9em; margin-top: 8px;"&gt;&lt;em&gt;Significance levels based on bootstrap p-values: * p &lt; 0.05, </w:t>
      </w:r>
      <w:r>
        <w:rPr>
          <w:b/>
        </w:rPr>
        <w:t xml:space="preserve"> p &lt; 0.01, </w:t>
      </w:r>
      <w:r>
        <w:t>* p &lt; 0.001&lt;/em&gt;&lt;/p&gt;</w:t>
        <w:br/>
        <w:t>&lt;p style="font-size: 0.9em; margin-top: 4px;"&gt;&lt;em&gt;Note: This table shows only variables tested with wild cluster bootstrap inference.&lt;/em&gt;&lt;/p&gt;</w:t>
      </w:r>
    </w:p>
    <w:p>
      <w:pPr>
        <w:pStyle w:val="ListBullet"/>
      </w:pPr>
      <w:r>
        <w:t>--</w:t>
      </w:r>
    </w:p>
    <w:p>
      <w:pPr>
        <w:pStyle w:val="ListBullet"/>
      </w:pPr>
      <w:r>
        <w:t>--</w:t>
      </w:r>
    </w:p>
    <w:p>
      <w:pPr>
        <w:pStyle w:val="CustomHeading2"/>
      </w:pPr>
      <w:r>
        <w:t>2. Descriptive statistics</w:t>
      </w:r>
    </w:p>
    <w:p>
      <w:pPr>
        <w:pStyle w:val="ListBullet"/>
      </w:pPr>
      <w:r>
        <w:t>*Descriptive statistics**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t>:----------------------</w:t>
            </w:r>
          </w:p>
        </w:tc>
        <w:tc>
          <w:tcPr>
            <w:tcW w:type="dxa" w:w="1440"/>
          </w:tcPr>
          <w:p>
            <w:r>
              <w:t>:--------</w:t>
            </w:r>
          </w:p>
        </w:tc>
        <w:tc>
          <w:tcPr>
            <w:tcW w:type="dxa" w:w="1440"/>
          </w:tcPr>
          <w:p>
            <w:r>
              <w:t>:--------</w:t>
            </w:r>
          </w:p>
        </w:tc>
        <w:tc>
          <w:tcPr>
            <w:tcW w:type="dxa" w:w="1440"/>
          </w:tcPr>
          <w:p>
            <w:r>
              <w:t>:----------</w:t>
            </w:r>
          </w:p>
        </w:tc>
        <w:tc>
          <w:tcPr>
            <w:tcW w:type="dxa" w:w="1440"/>
          </w:tcPr>
          <w:p>
            <w:r>
              <w:t>:--------</w:t>
            </w:r>
          </w:p>
        </w:tc>
        <w:tc>
          <w:tcPr>
            <w:tcW w:type="dxa" w:w="1440"/>
          </w:tcPr>
          <w:p>
            <w:r>
              <w:t>:-------</w:t>
            </w:r>
          </w:p>
        </w:tc>
      </w:tr>
      <w:tr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1,100</w:t>
            </w:r>
          </w:p>
        </w:tc>
        <w:tc>
          <w:tcPr>
            <w:tcW w:type="dxa" w:w="1440"/>
          </w:tcPr>
          <w:p>
            <w:r>
              <w:t>-0.0136</w:t>
            </w:r>
          </w:p>
        </w:tc>
        <w:tc>
          <w:tcPr>
            <w:tcW w:type="dxa" w:w="1440"/>
          </w:tcPr>
          <w:p>
            <w:r>
              <w:t>0.9960</w:t>
            </w:r>
          </w:p>
        </w:tc>
        <w:tc>
          <w:tcPr>
            <w:tcW w:type="dxa" w:w="1440"/>
          </w:tcPr>
          <w:p>
            <w:r>
              <w:t>-3.4463</w:t>
            </w:r>
          </w:p>
        </w:tc>
        <w:tc>
          <w:tcPr>
            <w:tcW w:type="dxa" w:w="1440"/>
          </w:tcPr>
          <w:p>
            <w:r>
              <w:t>2.9073</w:t>
            </w:r>
          </w:p>
        </w:tc>
      </w:tr>
      <w:tr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1,100</w:t>
            </w:r>
          </w:p>
        </w:tc>
        <w:tc>
          <w:tcPr>
            <w:tcW w:type="dxa" w:w="1440"/>
          </w:tcPr>
          <w:p>
            <w:r>
              <w:t>-0.0128</w:t>
            </w:r>
          </w:p>
        </w:tc>
        <w:tc>
          <w:tcPr>
            <w:tcW w:type="dxa" w:w="1440"/>
          </w:tcPr>
          <w:p>
            <w:r>
              <w:t>0.9893</w:t>
            </w:r>
          </w:p>
        </w:tc>
        <w:tc>
          <w:tcPr>
            <w:tcW w:type="dxa" w:w="1440"/>
          </w:tcPr>
          <w:p>
            <w:r>
              <w:t>-3.9879</w:t>
            </w:r>
          </w:p>
        </w:tc>
        <w:tc>
          <w:tcPr>
            <w:tcW w:type="dxa" w:w="1440"/>
          </w:tcPr>
          <w:p>
            <w:r>
              <w:t>3.3120</w:t>
            </w:r>
          </w:p>
        </w:tc>
      </w:tr>
      <w:tr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1,100</w:t>
            </w:r>
          </w:p>
        </w:tc>
        <w:tc>
          <w:tcPr>
            <w:tcW w:type="dxa" w:w="1440"/>
          </w:tcPr>
          <w:p>
            <w:r>
              <w:t>-0.0007</w:t>
            </w:r>
          </w:p>
        </w:tc>
        <w:tc>
          <w:tcPr>
            <w:tcW w:type="dxa" w:w="1440"/>
          </w:tcPr>
          <w:p>
            <w:r>
              <w:t>0.9963</w:t>
            </w:r>
          </w:p>
        </w:tc>
        <w:tc>
          <w:tcPr>
            <w:tcW w:type="dxa" w:w="1440"/>
          </w:tcPr>
          <w:p>
            <w:r>
              <w:t>-2.8928</w:t>
            </w:r>
          </w:p>
        </w:tc>
        <w:tc>
          <w:tcPr>
            <w:tcW w:type="dxa" w:w="1440"/>
          </w:tcPr>
          <w:p>
            <w:r>
              <w:t>3.8851</w:t>
            </w:r>
          </w:p>
        </w:tc>
      </w:tr>
      <w:tr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1,100</w:t>
            </w:r>
          </w:p>
        </w:tc>
        <w:tc>
          <w:tcPr>
            <w:tcW w:type="dxa" w:w="1440"/>
          </w:tcPr>
          <w:p>
            <w:r>
              <w:t>-0.0028</w:t>
            </w:r>
          </w:p>
        </w:tc>
        <w:tc>
          <w:tcPr>
            <w:tcW w:type="dxa" w:w="1440"/>
          </w:tcPr>
          <w:p>
            <w:r>
              <w:t>0.9878</w:t>
            </w:r>
          </w:p>
        </w:tc>
        <w:tc>
          <w:tcPr>
            <w:tcW w:type="dxa" w:w="1440"/>
          </w:tcPr>
          <w:p>
            <w:r>
              <w:t>-3.4925</w:t>
            </w:r>
          </w:p>
        </w:tc>
        <w:tc>
          <w:tcPr>
            <w:tcW w:type="dxa" w:w="1440"/>
          </w:tcPr>
          <w:p>
            <w:r>
              <w:t>3.5167</w:t>
            </w:r>
          </w:p>
        </w:tc>
      </w:tr>
      <w:tr>
        <w:tc>
          <w:tcPr>
            <w:tcW w:type="dxa" w:w="1440"/>
          </w:tcPr>
          <w:p>
            <w:r>
              <w:t>Countries (exchange)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Industries (industry)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ListBullet"/>
      </w:pPr>
      <w:r>
        <w:t>--</w:t>
      </w:r>
    </w:p>
    <w:p>
      <w:pPr>
        <w:pStyle w:val="CustomHeading2"/>
      </w:pPr>
      <w:r>
        <w:t>3. Categorical variables</w:t>
      </w:r>
    </w:p>
    <w:p>
      <w:pPr>
        <w:pStyle w:val="CustomHeading2"/>
      </w:pPr>
      <w:r>
        <w:t>Panel structure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Total Observations</w:t>
            </w:r>
          </w:p>
        </w:tc>
        <w:tc>
          <w:tcPr>
            <w:tcW w:type="dxa" w:w="4320"/>
          </w:tcPr>
          <w:p>
            <w:r>
              <w:t>1,100</w:t>
            </w:r>
          </w:p>
        </w:tc>
      </w:tr>
      <w:tr>
        <w:tc>
          <w:tcPr>
            <w:tcW w:type="dxa" w:w="4320"/>
          </w:tcPr>
          <w:p>
            <w:r>
              <w:t>Unique Firms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Time Periods (Years)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Average Obs per Firm</w:t>
            </w:r>
          </w:p>
        </w:tc>
        <w:tc>
          <w:tcPr>
            <w:tcW w:type="dxa" w:w="4320"/>
          </w:tcPr>
          <w:p>
            <w:r>
              <w:t>11.00</w:t>
            </w:r>
          </w:p>
        </w:tc>
      </w:tr>
    </w:tbl>
    <w:p/>
    <w:p>
      <w:pPr>
        <w:pStyle w:val="CustomHeading2"/>
      </w:pPr>
      <w:r>
        <w:t>Country distribution</w:t>
      </w:r>
    </w:p>
    <w:p>
      <w:pPr>
        <w:pStyle w:val="ListBullet"/>
      </w:pPr>
      <w:r>
        <w:t>*Total Countries: 5**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Observations</w:t>
            </w:r>
          </w:p>
        </w:tc>
      </w:tr>
      <w:tr>
        <w:tc>
          <w:tcPr>
            <w:tcW w:type="dxa" w:w="4320"/>
          </w:tcPr>
          <w:p>
            <w:r>
              <w:t>:----------</w:t>
            </w:r>
          </w:p>
        </w:tc>
        <w:tc>
          <w:tcPr>
            <w:tcW w:type="dxa" w:w="4320"/>
          </w:tcPr>
          <w:p>
            <w:r>
              <w:t>---------------: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SG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AU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TH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</w:tbl>
    <w:p/>
    <w:p>
      <w:pPr>
        <w:pStyle w:val="CustomHeading2"/>
      </w:pPr>
      <w:r>
        <w:t>Industry distribution</w:t>
      </w:r>
    </w:p>
    <w:p>
      <w:pPr>
        <w:pStyle w:val="ListBullet"/>
      </w:pPr>
      <w:r>
        <w:t>*Total Industries: 5**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Observations</w:t>
            </w:r>
          </w:p>
        </w:tc>
      </w:tr>
      <w:tr>
        <w:tc>
          <w:tcPr>
            <w:tcW w:type="dxa" w:w="4320"/>
          </w:tcPr>
          <w:p>
            <w:r>
              <w:t>:-----------</w:t>
            </w:r>
          </w:p>
        </w:tc>
        <w:tc>
          <w:tcPr>
            <w:tcW w:type="dxa" w:w="4320"/>
          </w:tcPr>
          <w:p>
            <w:r>
              <w:t>---------------: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</w:tbl>
    <w:p/>
    <w:p>
      <w:pPr>
        <w:pStyle w:val="CustomHeading2"/>
      </w:pPr>
      <w:r>
        <w:t>Year distribution</w:t>
        <w:br/>
        <w:t>|   Year |   Observations |</w:t>
        <w:br/>
        <w:t>|-------:|---------------:|</w:t>
        <w:br/>
        <w:t>|   2014 |            100 |</w:t>
        <w:br/>
        <w:t>|   2015 |            100 |</w:t>
        <w:br/>
        <w:t>|   2016 |            100 |</w:t>
        <w:br/>
        <w:t>|   2017 |            100 |</w:t>
        <w:br/>
        <w:t>|   2018 |            100 |</w:t>
        <w:br/>
        <w:t>|   2019 |            100 |</w:t>
        <w:br/>
        <w:t>|   2020 |            100 |</w:t>
        <w:br/>
        <w:t>|   2021 |            100 |</w:t>
        <w:br/>
        <w:t>|   2022 |            100 |</w:t>
        <w:br/>
        <w:t>|   2023 |            100 |</w:t>
        <w:br/>
        <w:t>|   2024 |            100 |</w:t>
      </w:r>
    </w:p>
    <w:p>
      <w:pPr>
        <w:pStyle w:val="ListBullet"/>
      </w:pPr>
      <w:r>
        <w:t>--</w:t>
      </w:r>
    </w:p>
    <w:p>
      <w:pPr>
        <w:pStyle w:val="CustomHeading2"/>
      </w:pPr>
      <w:r>
        <w:t>4. Cross-tabulations</w:t>
      </w:r>
    </w:p>
    <w:p>
      <w:pPr>
        <w:pStyle w:val="CustomHeading2"/>
      </w:pPr>
      <w:r>
        <w:t>Firms per Industry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Firms</w:t>
            </w:r>
          </w:p>
        </w:tc>
      </w:tr>
      <w:tr>
        <w:tc>
          <w:tcPr>
            <w:tcW w:type="dxa" w:w="4320"/>
          </w:tcPr>
          <w:p>
            <w:r>
              <w:t>:-----------</w:t>
            </w:r>
          </w:p>
        </w:tc>
        <w:tc>
          <w:tcPr>
            <w:tcW w:type="dxa" w:w="4320"/>
          </w:tcPr>
          <w:p>
            <w:r>
              <w:t>------------------: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pPr>
        <w:pStyle w:val="CustomHeading2"/>
      </w:pPr>
      <w:r>
        <w:t>Firms per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Firms</w:t>
            </w:r>
          </w:p>
        </w:tc>
      </w:tr>
      <w:tr>
        <w:tc>
          <w:tcPr>
            <w:tcW w:type="dxa" w:w="4320"/>
          </w:tcPr>
          <w:p>
            <w:r>
              <w:t>:----------</w:t>
            </w:r>
          </w:p>
        </w:tc>
        <w:tc>
          <w:tcPr>
            <w:tcW w:type="dxa" w:w="4320"/>
          </w:tcPr>
          <w:p>
            <w:r>
              <w:t>------------------:</w:t>
            </w:r>
          </w:p>
        </w:tc>
      </w:tr>
      <w:tr>
        <w:tc>
          <w:tcPr>
            <w:tcW w:type="dxa" w:w="4320"/>
          </w:tcPr>
          <w:p>
            <w:r>
              <w:t>AU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TH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pPr>
        <w:pStyle w:val="ListBullet"/>
      </w:pPr>
      <w:r>
        <w:t>--</w:t>
      </w:r>
    </w:p>
    <w:p>
      <w:pPr>
        <w:pStyle w:val="CustomHeading2"/>
      </w:pPr>
      <w:r>
        <w:t>Notes:</w:t>
        <w:br/>
        <w:t>- This report is based on the most recent analysis run</w:t>
        <w:br/>
        <w:t>- All statistics reflect the data after cleaning (dropped missing values)</w:t>
        <w:br/>
        <w:t>- Regression table shows coefficients, standard errors, and significance levels</w:t>
        <w:br/>
        <w:t>- Descriptive statistics include mean, standard deviation, min, max, and percentiles</w:t>
      </w:r>
    </w:p>
    <w:p>
      <w:r>
        <w:t>================================================================================</w:t>
      </w:r>
    </w:p>
    <w:p>
      <w:pPr>
        <w:pStyle w:val="CustomHeading2"/>
      </w:pPr>
      <w: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CustomHeading2"/>
      </w:pPr>
      <w:r>
        <w:t>║                    STEPWISE REGRESSION REPORT                             ║</w:t>
      </w:r>
    </w:p>
    <w:p>
      <w:pPr>
        <w:pStyle w:val="CustomHeading2"/>
      </w:pPr>
      <w:r>
        <w:t>║                  Progressive Model Specifications                         ║</w:t>
      </w:r>
    </w:p>
    <w:p>
      <w:pPr>
        <w:pStyle w:val="CustomHeading2"/>
      </w:pPr>
      <w: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stBullet"/>
      </w:pPr>
      <w:r>
        <w:t>*Analysis Strategy**: Controls added all at once (not one-by-one)</w:t>
      </w:r>
    </w:p>
    <w:p>
      <w:pPr>
        <w:pStyle w:val="ListBullet"/>
      </w:pPr>
      <w:r>
        <w:t>*Clustering Method**: Two-way (Industry × Country) with CRV1</w:t>
      </w:r>
    </w:p>
    <w:p>
      <w:pPr>
        <w:pStyle w:val="ListBullet"/>
      </w:pPr>
      <w:r>
        <w:t>*Number of Models Estimated**: 5</w:t>
      </w:r>
    </w:p>
    <w:p>
      <w:pPr>
        <w:pStyle w:val="CustomHeading2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```</w:t>
        <w:br/>
        <w:t>Model Progression:</w:t>
        <w:br/>
        <w:t xml:space="preserve">  (1) Model 1: IV only</w:t>
        <w:br/>
        <w:t xml:space="preserve">  (2) Model 2: IV + Controls</w:t>
        <w:br/>
        <w:t xml:space="preserve">  (3) Model 3: + Year FE</w:t>
        <w:br/>
        <w:t xml:space="preserve">  (4) Model 4: + Interaction</w:t>
        <w:br/>
        <w:t xml:space="preserve">  (5) Model 5: + Lags</w:t>
      </w:r>
    </w:p>
    <w:p>
      <w:r>
        <w:rPr>
          <w:rFonts w:ascii="Courier New" w:hAnsi="Courier New"/>
          <w:sz w:val="20"/>
        </w:rPr>
        <w:t>`</w:t>
      </w:r>
    </w:p>
    <w:p>
      <w:pPr>
        <w:pStyle w:val="CustomHeading2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t>**Interpretation Guidelines**: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- If coefficient changes dramatically, investigate omitted variable bias</w:t>
            </w:r>
          </w:p>
        </w:tc>
      </w:tr>
      <w:tr>
        <w:tc>
          <w:tcPr>
            <w:tcW w:type="dxa" w:w="8640"/>
          </w:tcPr>
          <w:p>
            <w:r>
              <w:t>- Stable coefficients suggest robust relationship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- Large jumps indicate important controls</w:t>
            </w:r>
          </w:p>
        </w:tc>
      </w:tr>
      <w:tr>
        <w:tc>
          <w:tcPr>
            <w:tcW w:type="dxa" w:w="8640"/>
          </w:tcPr>
          <w:p>
            <w:r>
              <w:t>- Decreases may signal overfitting or multicollinearity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- Compare Model 2 vs Model 3 to see impact of time effects</w:t>
            </w:r>
          </w:p>
        </w:tc>
      </w:tr>
      <w:tr>
        <w:tc>
          <w:tcPr>
            <w:tcW w:type="dxa" w:w="8640"/>
          </w:tcPr>
          <w:p>
            <w:r>
              <w:t>- Year FE absorbs macro trends, policy changes, etc.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- Check if main effect and interaction are jointly significant</w:t>
            </w:r>
          </w:p>
        </w:tc>
      </w:tr>
      <w:tr>
        <w:tc>
          <w:tcPr>
            <w:tcW w:type="dxa" w:w="8640"/>
          </w:tcPr>
          <w:p>
            <w:r>
              <w:t>- Interpret carefully with centering of variables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- Use cluster-robust standard errors (already applied)</w:t>
            </w:r>
          </w:p>
        </w:tc>
      </w:tr>
      <w:tr>
        <w:tc>
          <w:tcPr>
            <w:tcW w:type="dxa" w:w="8640"/>
          </w:tcPr>
          <w:p>
            <w:r>
              <w:t>- Consider multiple testing corrections if testing many hypotheses</w:t>
            </w:r>
          </w:p>
        </w:tc>
      </w:tr>
      <w:tr>
        <w:tc>
          <w:tcPr>
            <w:tcW w:type="dxa" w:w="8640"/>
          </w:tcPr>
          <w:p>
            <w:r>
              <w:t>- Bootstrap p-values reported separately (if applicable)</w:t>
            </w:r>
          </w:p>
        </w:tc>
      </w:tr>
    </w:tbl>
    <w:p/>
    <w:p>
      <w:pPr>
        <w:pStyle w:val="ListBullet"/>
      </w:pPr>
      <w:r>
        <w:t>️ **Important Notes**:</w:t>
      </w:r>
    </w:p>
    <w:p>
      <w:pPr>
        <w:pStyle w:val="ListBullet"/>
      </w:pPr>
      <w:r>
        <w:t>All models use the same clustering specification</w:t>
      </w:r>
    </w:p>
    <w:p>
      <w:pPr>
        <w:pStyle w:val="ListBullet"/>
      </w:pPr>
      <w:r>
        <w:t>Fixed effects (firm) included in all models</w:t>
      </w:r>
    </w:p>
    <w:p>
      <w:pPr>
        <w:pStyle w:val="ListBullet"/>
      </w:pPr>
      <w:r>
        <w:t>Sample size should be constant across models (check N)</w:t>
      </w:r>
    </w:p>
    <w:p>
      <w:pPr>
        <w:pStyle w:val="ListBullet"/>
      </w:pPr>
      <w:r>
        <w:t>Compare nested models using adjusted R-squared or information criteria</w:t>
      </w:r>
    </w:p>
    <w:p>
      <w:pPr>
        <w:pStyle w:val="ListBullet"/>
      </w:pPr>
      <w:r>
        <w:t>**References**:</w:t>
      </w:r>
    </w:p>
    <w:p>
      <w:pPr>
        <w:pStyle w:val="ListBullet"/>
      </w:pPr>
      <w:r>
        <w:t>Wooldridge (2010) "Econometric Analysis of Cross Section and Panel Data"</w:t>
      </w:r>
    </w:p>
    <w:p>
      <w:pPr>
        <w:pStyle w:val="ListBullet"/>
      </w:pPr>
      <w:r>
        <w:t>Angrist &amp; Pischke (2009) "Mostly Harmless Econometrics"</w:t>
      </w:r>
    </w:p>
    <w:p>
      <w:pPr>
        <w:pStyle w:val="ListBullet"/>
      </w:pPr>
      <w:r>
        <w:t>Cameron &amp; Miller (2015) "A Practitioner's Guide to Cluster-Robust Inference"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Panel Data Analysis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rFonts w:ascii="Calibri" w:hAnsi="Calibri"/>
      <w:b/>
      <w:color w:val="003366"/>
      <w:sz w:val="32"/>
    </w:rPr>
  </w:style>
  <w:style w:type="paragraph" w:customStyle="1" w:styleId="CustomHeading2">
    <w:name w:val="CustomHeading2"/>
    <w:rPr>
      <w:rFonts w:ascii="Calibri" w:hAnsi="Calibri"/>
      <w:b/>
      <w:color w:val="0066CC"/>
      <w:sz w:val="28"/>
    </w:rPr>
  </w:style>
  <w:style w:type="paragraph" w:customStyle="1" w:styleId="CodeBlock">
    <w:name w:val="CodeBlock"/>
    <w:rPr>
      <w:rFonts w:ascii="Courier New" w:hAnsi="Courier New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