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82191">
      <w:pPr>
        <w:spacing w:before="0" w:after="8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厦大马来分校本科教务系统产品需求文档（空白模板）</w:t>
      </w:r>
    </w:p>
    <w:p w14:paraId="12344513">
      <w:pPr>
        <w:spacing w:before="0" w:after="8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创建日期：2026 年 8 月 21 日　　对照原文件：产品需求文档模板（空白模板）.docx</w:t>
      </w:r>
    </w:p>
    <w:p w14:paraId="3C4256B9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 w14:paraId="1B9C6731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1B2D8A75">
        <w:tc>
          <w:tcPr>
            <w:tcW w:w="2381" w:type="dxa"/>
            <w:shd w:val="clear" w:color="auto" w:fill="F2F2F2"/>
          </w:tcPr>
          <w:p w14:paraId="79B07B7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w="12132" w:type="dxa"/>
          </w:tcPr>
          <w:p w14:paraId="0965B5B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＜二级菜单名称＞</w:t>
            </w:r>
          </w:p>
        </w:tc>
      </w:tr>
      <w:tr w14:paraId="5AEE6287">
        <w:tc>
          <w:tcPr>
            <w:tcW w:w="2381" w:type="dxa"/>
            <w:shd w:val="clear" w:color="auto" w:fill="F2F2F2"/>
          </w:tcPr>
          <w:p w14:paraId="28DB323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w="12132" w:type="dxa"/>
          </w:tcPr>
          <w:p w14:paraId="1384DEB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＜如：开课管理 → 专业开课 → 开课安排＞</w:t>
            </w:r>
          </w:p>
        </w:tc>
      </w:tr>
      <w:tr w14:paraId="3BC04C8A">
        <w:tc>
          <w:tcPr>
            <w:tcW w:w="2381" w:type="dxa"/>
            <w:shd w:val="clear" w:color="auto" w:fill="F2F2F2"/>
          </w:tcPr>
          <w:p w14:paraId="017E8AC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w="12132" w:type="dxa"/>
          </w:tcPr>
          <w:p w14:paraId="221B1EE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需提供</w:t>
            </w:r>
          </w:p>
        </w:tc>
      </w:tr>
      <w:tr w14:paraId="1CED789D">
        <w:tc>
          <w:tcPr>
            <w:tcW w:w="2381" w:type="dxa"/>
            <w:shd w:val="clear" w:color="auto" w:fill="F2F2F2"/>
          </w:tcPr>
          <w:p w14:paraId="6C15DCD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w="12132" w:type="dxa"/>
          </w:tcPr>
          <w:p w14:paraId="6224BE4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V1（按菜单各自计数；升版不得覆盖旧版文件夹）</w:t>
            </w:r>
          </w:p>
        </w:tc>
      </w:tr>
      <w:tr w14:paraId="059E9E92">
        <w:tc>
          <w:tcPr>
            <w:tcW w:w="2381" w:type="dxa"/>
            <w:shd w:val="clear" w:color="auto" w:fill="F2F2F2"/>
          </w:tcPr>
          <w:p w14:paraId="0CE265E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w="12132" w:type="dxa"/>
          </w:tcPr>
          <w:p w14:paraId="12414AC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YYYY-MM-DD</w:t>
            </w:r>
          </w:p>
        </w:tc>
      </w:tr>
      <w:tr w14:paraId="5C05F962">
        <w:tc>
          <w:tcPr>
            <w:tcW w:w="2381" w:type="dxa"/>
            <w:shd w:val="clear" w:color="auto" w:fill="F2F2F2"/>
          </w:tcPr>
          <w:p w14:paraId="332F6D3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w="12132" w:type="dxa"/>
          </w:tcPr>
          <w:p w14:paraId="46359098">
            <w:pPr>
              <w:spacing w:before="40" w:after="40" w:line="360" w:lineRule="auto"/>
            </w:pPr>
          </w:p>
        </w:tc>
      </w:tr>
      <w:tr w14:paraId="52B448A4">
        <w:tc>
          <w:tcPr>
            <w:tcW w:w="2381" w:type="dxa"/>
            <w:shd w:val="clear" w:color="auto" w:fill="F2F2F2"/>
          </w:tcPr>
          <w:p w14:paraId="7B23BD8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w="12132" w:type="dxa"/>
          </w:tcPr>
          <w:p w14:paraId="5058E505">
            <w:pPr>
              <w:spacing w:before="40" w:after="40" w:line="360" w:lineRule="auto"/>
            </w:pPr>
          </w:p>
        </w:tc>
      </w:tr>
      <w:tr w14:paraId="46D177BE">
        <w:tc>
          <w:tcPr>
            <w:tcW w:w="2381" w:type="dxa"/>
            <w:shd w:val="clear" w:color="auto" w:fill="F2F2F2"/>
          </w:tcPr>
          <w:p w14:paraId="179138B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确认状态</w:t>
            </w:r>
          </w:p>
        </w:tc>
        <w:tc>
          <w:tcPr>
            <w:tcW w:w="12132" w:type="dxa"/>
          </w:tcPr>
          <w:p w14:paraId="64ECC5B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 w14:paraId="17C9E2A1">
        <w:tc>
          <w:tcPr>
            <w:tcW w:w="2381" w:type="dxa"/>
            <w:shd w:val="clear" w:color="auto" w:fill="F2F2F2"/>
          </w:tcPr>
          <w:p w14:paraId="68FCA4A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w="12132" w:type="dxa"/>
          </w:tcPr>
          <w:p w14:paraId="5781D7D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page-xxx</w:t>
            </w:r>
          </w:p>
        </w:tc>
      </w:tr>
      <w:tr w14:paraId="2981D9CE">
        <w:tc>
          <w:tcPr>
            <w:tcW w:w="2381" w:type="dxa"/>
            <w:shd w:val="clear" w:color="auto" w:fill="F2F2F2"/>
          </w:tcPr>
          <w:p w14:paraId="27D75A9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对应变更说明</w:t>
            </w:r>
          </w:p>
        </w:tc>
        <w:tc>
          <w:tcPr>
            <w:tcW w:w="12132" w:type="dxa"/>
          </w:tcPr>
          <w:p w14:paraId="41C087E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升版时放在新版本文件夹内，命名见变更说明模板 V2</w:t>
            </w:r>
          </w:p>
        </w:tc>
      </w:tr>
    </w:tbl>
    <w:p w14:paraId="2DACAE06"/>
    <w:p w14:paraId="4C938A3C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 w14:paraId="05300718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 w14:paraId="51ECDE6F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本文档为厦大马来分校本科教务系统提供标准化需求输入，供评审、原型对照和后续开发使用。一份文档对应一个二级菜单（或同等粒度的独立功能）。</w:t>
      </w:r>
    </w:p>
    <w:p w14:paraId="57043BAD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1C8C8E93">
        <w:tc>
          <w:tcPr>
            <w:tcW w:w="2381" w:type="dxa"/>
            <w:shd w:val="clear" w:color="auto" w:fill="F2F2F2"/>
          </w:tcPr>
          <w:p w14:paraId="16BBC4F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开发模式</w:t>
            </w:r>
          </w:p>
        </w:tc>
        <w:tc>
          <w:tcPr>
            <w:tcW w:w="12132" w:type="dxa"/>
          </w:tcPr>
          <w:p w14:paraId="5E1AF0D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边分析边迭代，分模块生成可交互原型</w:t>
            </w:r>
          </w:p>
        </w:tc>
      </w:tr>
      <w:tr w14:paraId="03B89A68">
        <w:tc>
          <w:tcPr>
            <w:tcW w:w="2381" w:type="dxa"/>
            <w:shd w:val="clear" w:color="auto" w:fill="F2F2F2"/>
          </w:tcPr>
          <w:p w14:paraId="4D22859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目标用户</w:t>
            </w:r>
          </w:p>
        </w:tc>
        <w:tc>
          <w:tcPr>
            <w:tcW w:w="12132" w:type="dxa"/>
          </w:tcPr>
          <w:p w14:paraId="6281063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学生、教师、各级管理人员（按本菜单实际角色填写）</w:t>
            </w:r>
          </w:p>
        </w:tc>
      </w:tr>
      <w:tr w14:paraId="3553CB2F">
        <w:tc>
          <w:tcPr>
            <w:tcW w:w="2381" w:type="dxa"/>
            <w:shd w:val="clear" w:color="auto" w:fill="F2F2F2"/>
          </w:tcPr>
          <w:p w14:paraId="6FE6AB0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覆盖范围</w:t>
            </w:r>
          </w:p>
        </w:tc>
        <w:tc>
          <w:tcPr>
            <w:tcW w:w="12132" w:type="dxa"/>
          </w:tcPr>
          <w:p w14:paraId="6019AFF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本科生（如本菜单另有范围，在此改写；非用户指定的范围标（未确认））</w:t>
            </w:r>
          </w:p>
        </w:tc>
      </w:tr>
    </w:tbl>
    <w:p w14:paraId="232E4020"/>
    <w:p w14:paraId="0C158FC9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 w14:paraId="6CE7FD94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条款口径：用户指定且已讲清的规则或内容，在该项后标（已明确）；没有明确、没有聊过、由 AI 自行补写或可能遗漏的点，标（未确认）。不得把 AI 发挥的内容标成已明确。</w:t>
      </w:r>
    </w:p>
    <w:p w14:paraId="12DDD423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文档信息中的「确认状态」表示整份文档是否已经过确认人核过（待确认 / 已确认），与条款上的（已明确）/（未确认）不是同一件事。</w:t>
      </w:r>
    </w:p>
    <w:p w14:paraId="6ACBA477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标题只用到三级；表须有题注；字段表按「所在界面/区块」分行，一张表可覆盖筛选、列表、弹窗、抽屉。</w:t>
      </w:r>
    </w:p>
    <w:p w14:paraId="2042E56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英文名称与界面原文保持一致；界面为外文时保留原文并加中文说明。</w:t>
      </w:r>
    </w:p>
    <w:p w14:paraId="2318A116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升版时不得覆盖旧版文件夹；须同时产出变更说明（见《需求调整变更说明模板（简版）20260821V2》）。</w:t>
      </w:r>
    </w:p>
    <w:p w14:paraId="440508F4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· 无实质需求变更时不要升版。跳号升版时，变更说明对照上一有效版本。</w:t>
      </w:r>
    </w:p>
    <w:p w14:paraId="69F9FC16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模块需求（按一个二级菜单填写）</w:t>
      </w:r>
    </w:p>
    <w:p w14:paraId="0CAB1009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4B864360">
        <w:tc>
          <w:tcPr>
            <w:tcW w:w="2381" w:type="dxa"/>
            <w:shd w:val="clear" w:color="auto" w:fill="F2F2F2"/>
          </w:tcPr>
          <w:p w14:paraId="2C5805C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w="12132" w:type="dxa"/>
          </w:tcPr>
          <w:p w14:paraId="5C1CF72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需补充（英文名称：需提供）</w:t>
            </w:r>
          </w:p>
        </w:tc>
      </w:tr>
      <w:tr w14:paraId="2E530C48">
        <w:tc>
          <w:tcPr>
            <w:tcW w:w="2381" w:type="dxa"/>
            <w:shd w:val="clear" w:color="auto" w:fill="F2F2F2"/>
          </w:tcPr>
          <w:p w14:paraId="3E163E1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w="12132" w:type="dxa"/>
          </w:tcPr>
          <w:p w14:paraId="6EA533F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需补充（英文名称：需提供）</w:t>
            </w:r>
          </w:p>
        </w:tc>
      </w:tr>
      <w:tr w14:paraId="3009E42B">
        <w:tc>
          <w:tcPr>
            <w:tcW w:w="2381" w:type="dxa"/>
            <w:shd w:val="clear" w:color="auto" w:fill="F2F2F2"/>
          </w:tcPr>
          <w:p w14:paraId="392232B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w="12132" w:type="dxa"/>
          </w:tcPr>
          <w:p w14:paraId="6E9EA4D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无 / 需补充</w:t>
            </w:r>
          </w:p>
        </w:tc>
      </w:tr>
      <w:tr w14:paraId="11647007">
        <w:tc>
          <w:tcPr>
            <w:tcW w:w="2381" w:type="dxa"/>
            <w:shd w:val="clear" w:color="auto" w:fill="F2F2F2"/>
          </w:tcPr>
          <w:p w14:paraId="2AAD232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w="12132" w:type="dxa"/>
          </w:tcPr>
          <w:p w14:paraId="7595002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需补充：本菜单包含的能力</w:t>
            </w:r>
          </w:p>
        </w:tc>
      </w:tr>
    </w:tbl>
    <w:p w14:paraId="7A250F4C"/>
    <w:p w14:paraId="7F4A752C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 w14:paraId="13BC9D6C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目标：需补充（本菜单要解决什么问题、达成什么结果）。</w:t>
      </w:r>
    </w:p>
    <w:p w14:paraId="241AEF15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非目标：需补充（明确不做、或由其他菜单承担的能力；如无则填「无」）。</w:t>
      </w:r>
    </w:p>
    <w:p w14:paraId="2CA696A7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p w14:paraId="0EA2950A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只写用户已明确的可见/可操作范围；未聊过的权限标（未确认）。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 w14:paraId="72C57E48">
        <w:trPr>
          <w:tblHeader/>
          <w:jc w:val="center"/>
        </w:trPr>
        <w:tc>
          <w:tcPr>
            <w:tcW w:w="1984" w:type="dxa"/>
            <w:shd w:val="clear" w:color="auto" w:fill="D9E2F3"/>
          </w:tcPr>
          <w:p w14:paraId="7B2C6D5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w="10488" w:type="dxa"/>
            <w:shd w:val="clear" w:color="auto" w:fill="D9E2F3"/>
          </w:tcPr>
          <w:p w14:paraId="3A68532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w="1984" w:type="dxa"/>
            <w:shd w:val="clear" w:color="auto" w:fill="D9E2F3"/>
          </w:tcPr>
          <w:p w14:paraId="41A2DF6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 w14:paraId="4600DF0A">
        <w:trPr>
          <w:jc w:val="center"/>
        </w:trPr>
        <w:tc>
          <w:tcPr>
            <w:tcW w:w="1984" w:type="dxa"/>
          </w:tcPr>
          <w:p w14:paraId="27F8B3C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需补充角色</w:t>
            </w:r>
          </w:p>
        </w:tc>
        <w:tc>
          <w:tcPr>
            <w:tcW w:w="10488" w:type="dxa"/>
          </w:tcPr>
          <w:p w14:paraId="4A9FC34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需补充：何时用、可看/可操作哪些</w:t>
            </w:r>
          </w:p>
        </w:tc>
        <w:tc>
          <w:tcPr>
            <w:tcW w:w="1984" w:type="dxa"/>
          </w:tcPr>
          <w:p w14:paraId="1FD2F6C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 w14:paraId="057D2612">
        <w:trPr>
          <w:jc w:val="center"/>
        </w:trPr>
        <w:tc>
          <w:tcPr>
            <w:tcW w:w="1984" w:type="dxa"/>
          </w:tcPr>
          <w:p w14:paraId="7A10E6F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需补充角色</w:t>
            </w:r>
          </w:p>
        </w:tc>
        <w:tc>
          <w:tcPr>
            <w:tcW w:w="10488" w:type="dxa"/>
          </w:tcPr>
          <w:p w14:paraId="0C48D33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84" w:type="dxa"/>
          </w:tcPr>
          <w:p w14:paraId="606FA04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 w14:paraId="1278CD77"/>
    <w:p w14:paraId="73332B63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 w14:paraId="27E29D69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菜单内容简介：需补充。</w:t>
      </w:r>
    </w:p>
    <w:p w14:paraId="577EA47E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 w14:paraId="4E94DCA0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 w14:paraId="1FDD279E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需补充：筛选项、查询/重置。</w:t>
      </w:r>
    </w:p>
    <w:p w14:paraId="628227AF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 w14:paraId="0FD0C664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需补充：列表列（含操作列）。步骤/Tab 差异列请分开写。</w:t>
      </w:r>
    </w:p>
    <w:p w14:paraId="424FD927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关联界面（弹窗 / 抽屉 / 下钻）</w:t>
      </w:r>
    </w:p>
    <w:p w14:paraId="7D20D74D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需补充：弹出页内容、功能按钮；无则写「无下钻页面」。</w:t>
      </w:r>
    </w:p>
    <w:p w14:paraId="59867A9D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304545AE">
        <w:tc>
          <w:tcPr>
            <w:tcW w:w="2381" w:type="dxa"/>
            <w:shd w:val="clear" w:color="auto" w:fill="F2F2F2"/>
          </w:tcPr>
          <w:p w14:paraId="30617F4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w="12132" w:type="dxa"/>
          </w:tcPr>
          <w:p w14:paraId="6216BC7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需补充（无则填无）</w:t>
            </w:r>
          </w:p>
        </w:tc>
      </w:tr>
      <w:tr w14:paraId="35E9F8FB">
        <w:tc>
          <w:tcPr>
            <w:tcW w:w="2381" w:type="dxa"/>
            <w:shd w:val="clear" w:color="auto" w:fill="F2F2F2"/>
          </w:tcPr>
          <w:p w14:paraId="322C33C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w="12132" w:type="dxa"/>
          </w:tcPr>
          <w:p w14:paraId="1441746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需补充：数据从哪里获取（无则填无）</w:t>
            </w:r>
          </w:p>
        </w:tc>
      </w:tr>
      <w:tr w14:paraId="79D9D78C">
        <w:tc>
          <w:tcPr>
            <w:tcW w:w="2381" w:type="dxa"/>
            <w:shd w:val="clear" w:color="auto" w:fill="F2F2F2"/>
          </w:tcPr>
          <w:p w14:paraId="7CBC71F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w="12132" w:type="dxa"/>
          </w:tcPr>
          <w:p w14:paraId="4568841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需补充：输出到哪些模块（无则填无）</w:t>
            </w:r>
          </w:p>
        </w:tc>
      </w:tr>
    </w:tbl>
    <w:p w14:paraId="5C6CE352"/>
    <w:p w14:paraId="2358097A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业务流（操作流程）</w:t>
      </w:r>
    </w:p>
    <w:p w14:paraId="38F6D301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需补充，例如：先维护学年学期，再维护本菜单。</w:t>
      </w:r>
    </w:p>
    <w:p w14:paraId="5882AAB6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Style w:val="3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 w14:paraId="3BBFEDE8">
        <w:tc>
          <w:tcPr>
            <w:tcW w:w="2381" w:type="dxa"/>
            <w:shd w:val="clear" w:color="auto" w:fill="F2F2F2"/>
          </w:tcPr>
          <w:p w14:paraId="34C5BD6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w="12132" w:type="dxa"/>
          </w:tcPr>
          <w:p w14:paraId="1B16257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需补充：prototype/index.html → page-xxx；无原型则写无</w:t>
            </w:r>
          </w:p>
        </w:tc>
      </w:tr>
    </w:tbl>
    <w:p w14:paraId="5F4C6AF5"/>
    <w:p w14:paraId="09CA14F3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 w14:paraId="5F9D781D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2-1 字段信息表（按所在界面/区块列全）</w:t>
      </w:r>
    </w:p>
    <w:p w14:paraId="5E8E76E9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筛选区、列表、各弹窗与抽屉分区均写入本表；用「所在界面/区块」区分，不必为每个弹窗另起一套表头。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14:paraId="20B6989E">
        <w:trPr>
          <w:tblHeader/>
          <w:jc w:val="center"/>
        </w:trPr>
        <w:tc>
          <w:tcPr>
            <w:tcW w:w="567" w:type="dxa"/>
            <w:shd w:val="clear" w:color="auto" w:fill="D9E2F3"/>
            <w:vAlign w:val="center"/>
          </w:tcPr>
          <w:p w14:paraId="0A87F4DF">
            <w:pPr>
              <w:spacing w:before="40" w:after="40" w:line="360" w:lineRule="auto"/>
              <w:jc w:val="center"/>
            </w:pPr>
            <w:bookmarkStart w:id="0" w:name="_GoBack" w:colFirst="0" w:colLast="9"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2041" w:type="dxa"/>
            <w:shd w:val="clear" w:color="auto" w:fill="D9E2F3"/>
            <w:vAlign w:val="center"/>
          </w:tcPr>
          <w:p w14:paraId="59BC6E4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7518AAB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3C735EEC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B278583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w="567" w:type="dxa"/>
            <w:shd w:val="clear" w:color="auto" w:fill="D9E2F3"/>
            <w:vAlign w:val="center"/>
          </w:tcPr>
          <w:p w14:paraId="545F038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w="1814" w:type="dxa"/>
            <w:shd w:val="clear" w:color="auto" w:fill="D9E2F3"/>
            <w:vAlign w:val="center"/>
          </w:tcPr>
          <w:p w14:paraId="59A9949E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（没有明确规则时先限制字符即可，放宽）</w:t>
            </w:r>
          </w:p>
        </w:tc>
        <w:tc>
          <w:tcPr>
            <w:tcW w:w="1928" w:type="dxa"/>
            <w:shd w:val="clear" w:color="auto" w:fill="D9E2F3"/>
            <w:vAlign w:val="center"/>
          </w:tcPr>
          <w:p w14:paraId="48072DE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w="794" w:type="dxa"/>
            <w:shd w:val="clear" w:color="auto" w:fill="D9E2F3"/>
            <w:vAlign w:val="center"/>
          </w:tcPr>
          <w:p w14:paraId="4ED9068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C4EB98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数据格式样例</w:t>
            </w:r>
            <w:r>
              <w:rPr>
                <w:rFonts w:ascii="Times New Roman" w:hAnsi="Times New Roman" w:eastAsia="宋体"/>
                <w:b/>
                <w:sz w:val="18"/>
              </w:rPr>
              <w:br w:type="textWrapping"/>
            </w:r>
            <w:r>
              <w:rPr>
                <w:rFonts w:ascii="Times New Roman" w:hAnsi="Times New Roman" w:eastAsia="宋体"/>
                <w:b/>
                <w:sz w:val="18"/>
              </w:rPr>
              <w:t>（无特定格式留空）</w:t>
            </w:r>
          </w:p>
        </w:tc>
      </w:tr>
      <w:bookmarkEnd w:id="0"/>
      <w:tr w14:paraId="4D76A82A">
        <w:trPr>
          <w:jc w:val="center"/>
        </w:trPr>
        <w:tc>
          <w:tcPr>
            <w:tcW w:w="567" w:type="dxa"/>
          </w:tcPr>
          <w:p w14:paraId="1B5B72F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041" w:type="dxa"/>
          </w:tcPr>
          <w:p w14:paraId="142B052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1BA0B66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39F1487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053F6D1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01CA3CC6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7EDCAFC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42D4DD7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4A971DAC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445ED88D">
            <w:pPr>
              <w:spacing w:before="40" w:after="40" w:line="360" w:lineRule="auto"/>
            </w:pPr>
          </w:p>
        </w:tc>
      </w:tr>
      <w:tr w14:paraId="01A8C73A">
        <w:trPr>
          <w:jc w:val="center"/>
        </w:trPr>
        <w:tc>
          <w:tcPr>
            <w:tcW w:w="567" w:type="dxa"/>
          </w:tcPr>
          <w:p w14:paraId="680CFF2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041" w:type="dxa"/>
          </w:tcPr>
          <w:p w14:paraId="5DA0B40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622A949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0299BB0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11423A3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1F1DA103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7E36F9A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2A63102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2EA65583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163F7BCD">
            <w:pPr>
              <w:spacing w:before="40" w:after="40" w:line="360" w:lineRule="auto"/>
            </w:pPr>
          </w:p>
        </w:tc>
      </w:tr>
      <w:tr w14:paraId="4D467732">
        <w:trPr>
          <w:jc w:val="center"/>
        </w:trPr>
        <w:tc>
          <w:tcPr>
            <w:tcW w:w="567" w:type="dxa"/>
          </w:tcPr>
          <w:p w14:paraId="34D7FCEA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041" w:type="dxa"/>
          </w:tcPr>
          <w:p w14:paraId="6B19B7C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6841E13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4A47DDB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3DBCF44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1C961E9F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061C3FF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68B28A7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25413397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1D1F4490">
            <w:pPr>
              <w:spacing w:before="40" w:after="40" w:line="360" w:lineRule="auto"/>
            </w:pPr>
          </w:p>
        </w:tc>
      </w:tr>
      <w:tr w14:paraId="613C9F85">
        <w:trPr>
          <w:jc w:val="center"/>
        </w:trPr>
        <w:tc>
          <w:tcPr>
            <w:tcW w:w="567" w:type="dxa"/>
          </w:tcPr>
          <w:p w14:paraId="7A151A4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041" w:type="dxa"/>
          </w:tcPr>
          <w:p w14:paraId="1EA2329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4D12854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2432EC7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4393521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68AE154C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6126930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5E7AB4B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79AB793B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18558D61">
            <w:pPr>
              <w:spacing w:before="40" w:after="40" w:line="360" w:lineRule="auto"/>
            </w:pPr>
          </w:p>
        </w:tc>
      </w:tr>
      <w:tr w14:paraId="7131A355">
        <w:trPr>
          <w:jc w:val="center"/>
        </w:trPr>
        <w:tc>
          <w:tcPr>
            <w:tcW w:w="567" w:type="dxa"/>
          </w:tcPr>
          <w:p w14:paraId="0E1B970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2041" w:type="dxa"/>
          </w:tcPr>
          <w:p w14:paraId="18A744E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09A23CF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748133F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1A3CE46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3D395336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451ABFA0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0CC95FC6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1F2AD269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7F8F982E">
            <w:pPr>
              <w:spacing w:before="40" w:after="40" w:line="360" w:lineRule="auto"/>
            </w:pPr>
          </w:p>
        </w:tc>
      </w:tr>
      <w:tr w14:paraId="19636A3E">
        <w:trPr>
          <w:jc w:val="center"/>
        </w:trPr>
        <w:tc>
          <w:tcPr>
            <w:tcW w:w="567" w:type="dxa"/>
          </w:tcPr>
          <w:p w14:paraId="4621E33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2041" w:type="dxa"/>
          </w:tcPr>
          <w:p w14:paraId="4067964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5266CB1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2AA9C69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019E49A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00CB96A0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7FA9D8A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38C025A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002B0B46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6C72C458">
            <w:pPr>
              <w:spacing w:before="40" w:after="40" w:line="360" w:lineRule="auto"/>
            </w:pPr>
          </w:p>
        </w:tc>
      </w:tr>
      <w:tr w14:paraId="71E53D24">
        <w:trPr>
          <w:jc w:val="center"/>
        </w:trPr>
        <w:tc>
          <w:tcPr>
            <w:tcW w:w="567" w:type="dxa"/>
          </w:tcPr>
          <w:p w14:paraId="2E2A13DB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2041" w:type="dxa"/>
          </w:tcPr>
          <w:p w14:paraId="39BEB19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7FFA049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39E0E6E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03FD5CF9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65ACC0EF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63415575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26789F5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198813DA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538579B7">
            <w:pPr>
              <w:spacing w:before="40" w:after="40" w:line="360" w:lineRule="auto"/>
            </w:pPr>
          </w:p>
        </w:tc>
      </w:tr>
      <w:tr w14:paraId="2A789D1C">
        <w:trPr>
          <w:jc w:val="center"/>
        </w:trPr>
        <w:tc>
          <w:tcPr>
            <w:tcW w:w="567" w:type="dxa"/>
          </w:tcPr>
          <w:p w14:paraId="73DDD45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2041" w:type="dxa"/>
          </w:tcPr>
          <w:p w14:paraId="063E42B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474" w:type="dxa"/>
          </w:tcPr>
          <w:p w14:paraId="671E54C1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587" w:type="dxa"/>
          </w:tcPr>
          <w:p w14:paraId="1BE3F2BF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907" w:type="dxa"/>
          </w:tcPr>
          <w:p w14:paraId="14C683DB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567" w:type="dxa"/>
          </w:tcPr>
          <w:p w14:paraId="2F01DBDF">
            <w:pPr>
              <w:spacing w:before="40" w:after="40" w:line="360" w:lineRule="auto"/>
              <w:jc w:val="center"/>
            </w:pPr>
          </w:p>
        </w:tc>
        <w:tc>
          <w:tcPr>
            <w:tcW w:w="1814" w:type="dxa"/>
          </w:tcPr>
          <w:p w14:paraId="70F9659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0201E00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794" w:type="dxa"/>
          </w:tcPr>
          <w:p w14:paraId="7185DDB5">
            <w:pPr>
              <w:spacing w:before="40" w:after="40" w:line="360" w:lineRule="auto"/>
              <w:jc w:val="center"/>
            </w:pPr>
          </w:p>
        </w:tc>
        <w:tc>
          <w:tcPr>
            <w:tcW w:w="1134" w:type="dxa"/>
          </w:tcPr>
          <w:p w14:paraId="71C41A27">
            <w:pPr>
              <w:spacing w:before="40" w:after="40" w:line="360" w:lineRule="auto"/>
            </w:pPr>
          </w:p>
        </w:tc>
      </w:tr>
    </w:tbl>
    <w:p w14:paraId="01F27B41"/>
    <w:p w14:paraId="7763ABA2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 w14:paraId="733FF0F3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每个按钮/开关单独一条。无下钻则写「无下钻页面」。英文名称须与按钮文案一致。</w:t>
      </w:r>
    </w:p>
    <w:p w14:paraId="5013EF4D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1、功能按钮——查询 / 重置（英文名称：Query / Reset）</w:t>
      </w:r>
    </w:p>
    <w:p w14:paraId="70511271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490056E4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描述：需补充</w:t>
      </w:r>
    </w:p>
    <w:p w14:paraId="15F7EBEE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业务的事件交互：需补充</w:t>
      </w:r>
    </w:p>
    <w:p w14:paraId="30915D84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备注信息（校验规则补充、其他说明等）：需补充</w:t>
      </w:r>
    </w:p>
    <w:p w14:paraId="74BF7D5B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b. 下钻页面说明：无下钻页面。</w:t>
      </w:r>
    </w:p>
    <w:p w14:paraId="29E3F476"/>
    <w:p w14:paraId="34E10950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2、功能按钮——新增（英文名称：Add）</w:t>
      </w:r>
    </w:p>
    <w:p w14:paraId="5BAD8E24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4BA9A0FD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描述：需补充</w:t>
      </w:r>
    </w:p>
    <w:p w14:paraId="520336A9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业务的事件交互：需补充</w:t>
      </w:r>
    </w:p>
    <w:p w14:paraId="7541EC68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备注信息（校验规则补充、其他说明等）：需补充</w:t>
      </w:r>
    </w:p>
    <w:p w14:paraId="6743CA7B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b. 下钻页面说明：需补充，无则写「无下钻页面」。</w:t>
      </w:r>
    </w:p>
    <w:p w14:paraId="7CD241EC"/>
    <w:p w14:paraId="5B5CB2B7">
      <w:pPr>
        <w:spacing w:before="0" w:after="160" w:line="360" w:lineRule="auto"/>
      </w:pPr>
      <w:r>
        <w:rPr>
          <w:rFonts w:ascii="Times New Roman" w:hAnsi="Times New Roman" w:eastAsia="宋体"/>
          <w:b/>
          <w:sz w:val="22"/>
        </w:rPr>
        <w:t>3、功能按钮——编辑（英文名称：Edit）</w:t>
      </w:r>
    </w:p>
    <w:p w14:paraId="2924498E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 w14:paraId="23A4062F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描述：需补充</w:t>
      </w:r>
    </w:p>
    <w:p w14:paraId="6D502B21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业务的事件交互：需补充</w:t>
      </w:r>
    </w:p>
    <w:p w14:paraId="37FCD3D7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备注信息（校验规则补充、其他说明等）：需补充</w:t>
      </w:r>
    </w:p>
    <w:p w14:paraId="06242C3D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b. 下钻页面说明：需补充。</w:t>
      </w:r>
    </w:p>
    <w:p w14:paraId="4382CDE1"/>
    <w:p w14:paraId="26DE807F">
      <w:pPr>
        <w:pStyle w:val="4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 w14:paraId="7B0CF4EA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收录未聊过、未拍板、AI 补写或可能遗漏的点。用户已讲清的不要放在这里。</w:t>
      </w:r>
    </w:p>
    <w:p w14:paraId="153A4086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2"/>
        </w:rPr>
        <w:t>· 需补充（无则填无）。</w:t>
      </w:r>
    </w:p>
    <w:p w14:paraId="01162879">
      <w:pPr>
        <w:pStyle w:val="3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本模块菜单路径（可选）</w:t>
      </w:r>
    </w:p>
    <w:p w14:paraId="17134905">
      <w:pPr>
        <w:spacing w:before="0" w:after="16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只保留本模块相关路径。原模板中的全校「基础数据」目录仅为结构示例；写开课管理等模块时请改成本侧栏路径，不要整表照抄。</w:t>
      </w:r>
    </w:p>
    <w:p w14:paraId="2E4DE096">
      <w:pPr>
        <w:spacing w:before="0" w:after="80" w:line="360" w:lineRule="auto"/>
      </w:pPr>
      <w:r>
        <w:rPr>
          <w:rFonts w:ascii="Times New Roman" w:hAnsi="Times New Roman" w:eastAsia="宋体"/>
          <w:b/>
          <w:sz w:val="20"/>
        </w:rPr>
        <w:t>表 A-1 菜单路径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 w14:paraId="5BBAAD90">
        <w:trPr>
          <w:tblHeader/>
          <w:jc w:val="center"/>
        </w:trPr>
        <w:tc>
          <w:tcPr>
            <w:tcW w:w="1814" w:type="dxa"/>
            <w:shd w:val="clear" w:color="auto" w:fill="D9E2F3"/>
          </w:tcPr>
          <w:p w14:paraId="5131E3B0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w="2041" w:type="dxa"/>
            <w:shd w:val="clear" w:color="auto" w:fill="D9E2F3"/>
          </w:tcPr>
          <w:p w14:paraId="115574E2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w="1928" w:type="dxa"/>
            <w:shd w:val="clear" w:color="auto" w:fill="D9E2F3"/>
          </w:tcPr>
          <w:p w14:paraId="13F7801D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w="2268" w:type="dxa"/>
            <w:shd w:val="clear" w:color="auto" w:fill="D9E2F3"/>
          </w:tcPr>
          <w:p w14:paraId="730B3926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w="1361" w:type="dxa"/>
            <w:shd w:val="clear" w:color="auto" w:fill="D9E2F3"/>
          </w:tcPr>
          <w:p w14:paraId="165DDA85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w="5102" w:type="dxa"/>
            <w:shd w:val="clear" w:color="auto" w:fill="D9E2F3"/>
          </w:tcPr>
          <w:p w14:paraId="44255B5F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 w14:paraId="6545ADC2">
        <w:trPr>
          <w:jc w:val="center"/>
        </w:trPr>
        <w:tc>
          <w:tcPr>
            <w:tcW w:w="1814" w:type="dxa"/>
          </w:tcPr>
          <w:p w14:paraId="5AAF8B84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2041" w:type="dxa"/>
          </w:tcPr>
          <w:p w14:paraId="37612F88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928" w:type="dxa"/>
          </w:tcPr>
          <w:p w14:paraId="7C417FFE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2268" w:type="dxa"/>
          </w:tcPr>
          <w:p w14:paraId="449612A4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361" w:type="dxa"/>
          </w:tcPr>
          <w:p w14:paraId="65420482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5102" w:type="dxa"/>
          </w:tcPr>
          <w:p w14:paraId="7AB1C5B1"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写本模块侧栏路径</w:t>
            </w:r>
          </w:p>
        </w:tc>
      </w:tr>
      <w:tr w14:paraId="5D9EBD25">
        <w:trPr>
          <w:jc w:val="center"/>
        </w:trPr>
        <w:tc>
          <w:tcPr>
            <w:tcW w:w="1814" w:type="dxa"/>
          </w:tcPr>
          <w:p w14:paraId="725D1470">
            <w:pPr>
              <w:spacing w:before="40" w:after="40" w:line="360" w:lineRule="auto"/>
              <w:jc w:val="center"/>
            </w:pPr>
          </w:p>
        </w:tc>
        <w:tc>
          <w:tcPr>
            <w:tcW w:w="2041" w:type="dxa"/>
          </w:tcPr>
          <w:p w14:paraId="35EEE074">
            <w:pPr>
              <w:spacing w:before="40" w:after="40" w:line="360" w:lineRule="auto"/>
            </w:pPr>
          </w:p>
        </w:tc>
        <w:tc>
          <w:tcPr>
            <w:tcW w:w="1928" w:type="dxa"/>
          </w:tcPr>
          <w:p w14:paraId="7331ABCD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2268" w:type="dxa"/>
          </w:tcPr>
          <w:p w14:paraId="591BB01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361" w:type="dxa"/>
          </w:tcPr>
          <w:p w14:paraId="1A45514C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5102" w:type="dxa"/>
          </w:tcPr>
          <w:p w14:paraId="36DE6E2F">
            <w:pPr>
              <w:spacing w:before="40" w:after="40" w:line="360" w:lineRule="auto"/>
              <w:jc w:val="center"/>
            </w:pPr>
          </w:p>
        </w:tc>
      </w:tr>
      <w:tr w14:paraId="05268CE1">
        <w:trPr>
          <w:jc w:val="center"/>
        </w:trPr>
        <w:tc>
          <w:tcPr>
            <w:tcW w:w="1814" w:type="dxa"/>
          </w:tcPr>
          <w:p w14:paraId="1243507D">
            <w:pPr>
              <w:spacing w:before="40" w:after="40" w:line="360" w:lineRule="auto"/>
              <w:jc w:val="center"/>
            </w:pPr>
          </w:p>
        </w:tc>
        <w:tc>
          <w:tcPr>
            <w:tcW w:w="2041" w:type="dxa"/>
          </w:tcPr>
          <w:p w14:paraId="2AAA7FDB">
            <w:pPr>
              <w:spacing w:before="40" w:after="40" w:line="360" w:lineRule="auto"/>
            </w:pPr>
          </w:p>
        </w:tc>
        <w:tc>
          <w:tcPr>
            <w:tcW w:w="1928" w:type="dxa"/>
          </w:tcPr>
          <w:p w14:paraId="52B096EA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2268" w:type="dxa"/>
          </w:tcPr>
          <w:p w14:paraId="47FA1D83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color w:val="808080"/>
                <w:sz w:val="18"/>
              </w:rPr>
              <w:t>需补充</w:t>
            </w:r>
          </w:p>
        </w:tc>
        <w:tc>
          <w:tcPr>
            <w:tcW w:w="1361" w:type="dxa"/>
          </w:tcPr>
          <w:p w14:paraId="50145047"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5102" w:type="dxa"/>
          </w:tcPr>
          <w:p w14:paraId="51AC408C">
            <w:pPr>
              <w:spacing w:before="40" w:after="40" w:line="360" w:lineRule="auto"/>
              <w:jc w:val="center"/>
            </w:pPr>
          </w:p>
        </w:tc>
      </w:tr>
    </w:tbl>
    <w:p w14:paraId="5EE1909A"/>
    <w:sectPr>
      <w:headerReference r:id="rId5" w:type="default"/>
      <w:footerReference r:id="rId6" w:type="default"/>
      <w:pgSz w:w="16838" w:h="11906" w:orient="landscape"/>
      <w:pgMar w:top="1247" w:right="1134" w:bottom="1134" w:left="1134" w:header="454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32687">
    <w:pPr>
      <w:pStyle w:val="24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A2EC2">
    <w:pPr>
      <w:pStyle w:val="25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厦大马来分校本科教务系统产品需求文档（空白模板）·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B54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60" w:lineRule="auto"/>
      <w:outlineLvl w:val="0"/>
    </w:pPr>
    <w:rPr>
      <w:rFonts w:asciiTheme="majorHAnsi" w:hAnsiTheme="majorHAnsi" w:eastAsiaTheme="majorEastAsia" w:cstheme="majorBidi"/>
      <w:b/>
      <w:bCs/>
      <w:color w:val="1F293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asciiTheme="majorHAnsi" w:hAnsiTheme="majorHAnsi" w:eastAsiaTheme="majorEastAsia" w:cstheme="majorBidi"/>
      <w:b/>
      <w:bCs/>
      <w:color w:val="1F2937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asciiTheme="majorHAnsi" w:hAnsiTheme="majorHAnsi" w:eastAsiaTheme="majorEastAsia" w:cstheme="majorBidi"/>
      <w:b/>
      <w:bCs/>
      <w:color w:val="1F2937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2026-08-21T10:08:49Z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A638981CBDB16E8B31B3876A382F5000_42</vt:lpwstr>
  </property>
</Properties>
</file>