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21BF" w14:textId="3A2FA486" w:rsidR="00FB5A43" w:rsidRPr="00261CCB" w:rsidRDefault="00261CCB" w:rsidP="002564D0">
      <w:pPr>
        <w:pStyle w:val="Heading1"/>
        <w:rPr>
          <w:lang w:val="en-TH"/>
        </w:rPr>
      </w:pPr>
      <w:r>
        <w:t xml:space="preserve">Lab1: </w:t>
      </w:r>
      <w:r w:rsidRPr="00261CCB">
        <w:rPr>
          <w:lang w:val="en-TH"/>
        </w:rPr>
        <w:t>Pima Indians Diabetes Databas</w:t>
      </w:r>
      <w:r>
        <w:rPr>
          <w:lang w:val="en-TH"/>
        </w:rPr>
        <w:t>e</w:t>
      </w:r>
    </w:p>
    <w:p w14:paraId="1936005C" w14:textId="5C7D1699" w:rsid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This lab uses the classic </w:t>
      </w:r>
      <w:hyperlink r:id="rId8" w:history="1">
        <w:r w:rsidRPr="00843067">
          <w:rPr>
            <w:rStyle w:val="Hyperlink"/>
            <w:lang w:val="en-TH"/>
          </w:rPr>
          <w:t>Pima Indians Diabetes dataset</w:t>
        </w:r>
      </w:hyperlink>
      <w:r w:rsidRPr="00843067">
        <w:rPr>
          <w:lang w:val="en-TH"/>
        </w:rPr>
        <w:t xml:space="preserve">, which contains medical measurements collected from female patients of Pima Indian heritage. </w:t>
      </w:r>
    </w:p>
    <w:p w14:paraId="20F08A71" w14:textId="77777777" w:rsidR="00843067" w:rsidRPr="00843067" w:rsidRDefault="00843067" w:rsidP="00843067">
      <w:pPr>
        <w:jc w:val="both"/>
        <w:rPr>
          <w:b/>
          <w:bCs/>
          <w:lang w:val="en-TH"/>
        </w:rPr>
      </w:pPr>
      <w:r w:rsidRPr="00843067">
        <w:rPr>
          <w:b/>
          <w:bCs/>
          <w:lang w:val="en-TH"/>
        </w:rPr>
        <w:t>Dataset description</w:t>
      </w:r>
    </w:p>
    <w:p w14:paraId="46FBCB32" w14:textId="77777777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>The Pima Indians Diabetes dataset contains 768 records, each representing one female patient of Pima Indian heritage aged 21 years or older. For each patient, the following variables are recorded:</w:t>
      </w:r>
    </w:p>
    <w:p w14:paraId="44AF1534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Pregnancies</w:t>
      </w:r>
      <w:r w:rsidRPr="00843067">
        <w:rPr>
          <w:lang w:val="en-TH"/>
        </w:rPr>
        <w:br/>
        <w:t>Number of times the patient has been pregnant (integer count).</w:t>
      </w:r>
    </w:p>
    <w:p w14:paraId="0BCD5624" w14:textId="08E5FFCD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Glucose</w:t>
      </w:r>
      <w:r w:rsidRPr="00843067">
        <w:rPr>
          <w:lang w:val="en-TH"/>
        </w:rPr>
        <w:br/>
        <w:t>2-hour plasma glucose concentration (mg/dL) from an oral glucose tolerance test.</w:t>
      </w:r>
    </w:p>
    <w:p w14:paraId="5F6E6C48" w14:textId="5065D4C0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BloodPressure</w:t>
      </w:r>
      <w:r w:rsidRPr="00843067">
        <w:rPr>
          <w:lang w:val="en-TH"/>
        </w:rPr>
        <w:br/>
        <w:t>Diastolic blood pressure (mm Hg).</w:t>
      </w:r>
    </w:p>
    <w:p w14:paraId="2A3CF1C1" w14:textId="1EEC59B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SkinThickness</w:t>
      </w:r>
      <w:r w:rsidRPr="00843067">
        <w:rPr>
          <w:lang w:val="en-TH"/>
        </w:rPr>
        <w:br/>
        <w:t>Triceps skinfold thickness (mm), a proxy for body fat.</w:t>
      </w:r>
    </w:p>
    <w:p w14:paraId="7F134CA8" w14:textId="7F4E1C1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Insulin</w:t>
      </w:r>
      <w:r w:rsidRPr="00843067">
        <w:rPr>
          <w:lang w:val="en-TH"/>
        </w:rPr>
        <w:br/>
        <w:t>2-hour serum insulin (µU/mL).</w:t>
      </w:r>
    </w:p>
    <w:p w14:paraId="2270B72E" w14:textId="4748F0C5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BMI</w:t>
      </w:r>
      <w:r w:rsidRPr="00843067">
        <w:rPr>
          <w:lang w:val="en-TH"/>
        </w:rPr>
        <w:br/>
        <w:t>Body Mass Index, defined as weight in kg divided by the square of height in meters (kg/m²).</w:t>
      </w:r>
    </w:p>
    <w:p w14:paraId="593013A3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DiabetesPedigreeFunction</w:t>
      </w:r>
      <w:r w:rsidRPr="00843067">
        <w:rPr>
          <w:lang w:val="en-TH"/>
        </w:rPr>
        <w:br/>
        <w:t>A derived score that estimates the patient’s hereditary risk of diabetes, based on family history.</w:t>
      </w:r>
    </w:p>
    <w:p w14:paraId="246E2956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Age</w:t>
      </w:r>
      <w:r w:rsidRPr="00843067">
        <w:rPr>
          <w:lang w:val="en-TH"/>
        </w:rPr>
        <w:br/>
        <w:t>Age of the patient in years.</w:t>
      </w:r>
    </w:p>
    <w:p w14:paraId="313488E8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br/>
        <w:t>Binary target variable:</w:t>
      </w:r>
    </w:p>
    <w:p w14:paraId="4774FCC1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1 = patient is diagnosed with diabetes</w:t>
      </w:r>
    </w:p>
    <w:p w14:paraId="6E115519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0 = patient is not diagnosed with diabetes</w:t>
      </w:r>
    </w:p>
    <w:p w14:paraId="47B88284" w14:textId="77777777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Your task is to build and analyse binary classification models that predict </w:t>
      </w: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t xml:space="preserve"> from these clinical features. You will first clean and prepare the data in KNIME, then train a </w:t>
      </w:r>
      <w:r w:rsidRPr="00843067">
        <w:rPr>
          <w:lang w:val="en-TH"/>
        </w:rPr>
        <w:lastRenderedPageBreak/>
        <w:t>baseline decision tree and a logistic regression model, evaluate their performance, and explore global feature importance to understand which variables contribute most to the diabetes prediction.</w:t>
      </w:r>
    </w:p>
    <w:p w14:paraId="7B44610C" w14:textId="1F037D3E" w:rsidR="00F62888" w:rsidRPr="00FB5A43" w:rsidRDefault="00261CCB" w:rsidP="0004778F">
      <w:pPr>
        <w:pStyle w:val="Heading1"/>
      </w:pPr>
      <w:r>
        <w:t>KNIME Instructions</w:t>
      </w:r>
    </w:p>
    <w:p w14:paraId="1383BB65" w14:textId="61BAE9AD" w:rsidR="00261CCB" w:rsidRDefault="00507E5E" w:rsidP="00261CCB">
      <w:pPr>
        <w:spacing w:after="160" w:line="259" w:lineRule="auto"/>
        <w:rPr>
          <w:b/>
          <w:bCs/>
          <w:lang w:val="en-TH"/>
        </w:rPr>
      </w:pPr>
      <w:r>
        <w:rPr>
          <w:b/>
          <w:bCs/>
          <w:noProof/>
          <w:lang w:val="en-TH"/>
        </w:rPr>
        <w:drawing>
          <wp:inline distT="0" distB="0" distL="0" distR="0" wp14:anchorId="5AA38443" wp14:editId="2C5CDFD3">
            <wp:extent cx="5731510" cy="3396615"/>
            <wp:effectExtent l="0" t="0" r="0" b="0"/>
            <wp:docPr id="1210158026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8026" name="Picture 1" descr="A diagram of a process flow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AF24" w14:textId="5F672859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1) Data Preparation block</w:t>
      </w:r>
    </w:p>
    <w:p w14:paraId="0883EE78" w14:textId="5B0530C4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1.1 </w:t>
      </w:r>
      <w:r w:rsidRPr="00261CCB">
        <w:rPr>
          <w:b/>
          <w:bCs/>
          <w:lang w:val="en-TH"/>
        </w:rPr>
        <w:t>CSV Reader</w:t>
      </w:r>
      <w:r w:rsidRPr="00261CCB">
        <w:rPr>
          <w:lang w:val="en-TH"/>
        </w:rPr>
        <w:t xml:space="preserve"> – Drag CSV Reader, connect nothing to it, double-click</w:t>
      </w:r>
      <w:r>
        <w:rPr>
          <w:lang w:val="en-TH"/>
        </w:rPr>
        <w:t>,</w:t>
      </w:r>
      <w:r w:rsidRPr="00261CCB">
        <w:rPr>
          <w:lang w:val="en-TH"/>
        </w:rPr>
        <w:t xml:space="preserve"> and set the path to </w:t>
      </w:r>
      <w:r w:rsidRPr="00261CCB">
        <w:rPr>
          <w:b/>
          <w:bCs/>
          <w:lang w:val="en-TH"/>
        </w:rPr>
        <w:t>diabetes.csv</w:t>
      </w:r>
      <w:r w:rsidRPr="00261CCB">
        <w:rPr>
          <w:lang w:val="en-TH"/>
        </w:rPr>
        <w:t xml:space="preserve"> so KNIME can read the Pima Diabetes data.</w:t>
      </w:r>
    </w:p>
    <w:p w14:paraId="486024C5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1.2 </w:t>
      </w:r>
      <w:r w:rsidRPr="00261CCB">
        <w:rPr>
          <w:b/>
          <w:bCs/>
          <w:lang w:val="en-TH"/>
        </w:rPr>
        <w:t>Statistics (raw)</w:t>
      </w:r>
      <w:r w:rsidRPr="00261CCB">
        <w:rPr>
          <w:lang w:val="en-TH"/>
        </w:rPr>
        <w:t xml:space="preserve"> – Drag Statistics, connect it to the CSV Reader output; execute and open the view to quickly inspect distributions and spot weird values (0’s, outliers, class balance).</w:t>
      </w:r>
    </w:p>
    <w:p w14:paraId="2B6F75BB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1.3 </w:t>
      </w:r>
      <w:r w:rsidRPr="00261CCB">
        <w:rPr>
          <w:b/>
          <w:bCs/>
          <w:lang w:val="en-TH"/>
        </w:rPr>
        <w:t>Number to String (Outcome)</w:t>
      </w:r>
      <w:r w:rsidRPr="00261CCB">
        <w:rPr>
          <w:lang w:val="en-TH"/>
        </w:rPr>
        <w:t xml:space="preserve"> – Drag Number to String, connect from CSV Reader, configure it so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is converted from integer to string; this gives KNIME a proper </w:t>
      </w:r>
      <w:r w:rsidRPr="00261CCB">
        <w:rPr>
          <w:i/>
          <w:iCs/>
          <w:lang w:val="en-TH"/>
        </w:rPr>
        <w:t>nominal</w:t>
      </w:r>
      <w:r w:rsidRPr="00261CCB">
        <w:rPr>
          <w:lang w:val="en-TH"/>
        </w:rPr>
        <w:t xml:space="preserve"> class column for classification nodes.</w:t>
      </w:r>
    </w:p>
    <w:p w14:paraId="7578D4CA" w14:textId="2737768D" w:rsid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1.4 Row Filter (drop-0s demo)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Row Filter</w:t>
      </w:r>
      <w:r w:rsidRPr="00EE3E30">
        <w:rPr>
          <w:lang w:val="en-TH"/>
        </w:rPr>
        <w:t xml:space="preserve"> node, connect it after </w:t>
      </w:r>
      <w:r w:rsidRPr="00EE3E30">
        <w:rPr>
          <w:b/>
          <w:bCs/>
          <w:lang w:val="en-TH"/>
        </w:rPr>
        <w:t>CSV Reader</w:t>
      </w:r>
      <w:r w:rsidRPr="00EE3E30">
        <w:rPr>
          <w:lang w:val="en-TH"/>
        </w:rPr>
        <w:t xml:space="preserve">, and set criteria such as BMI &gt; 0, Glucose &gt; 0, BloodPressure &gt; 0, SkinThickness &gt; 0, </w:t>
      </w:r>
      <w:r>
        <w:rPr>
          <w:lang w:val="en-TH"/>
        </w:rPr>
        <w:t xml:space="preserve">and </w:t>
      </w:r>
      <w:r w:rsidRPr="00EE3E30">
        <w:rPr>
          <w:lang w:val="en-TH"/>
        </w:rPr>
        <w:t>Insulin &gt; 0 with “Match row if</w:t>
      </w:r>
      <w:r>
        <w:rPr>
          <w:lang w:val="en-TH"/>
        </w:rPr>
        <w:t xml:space="preserve"> </w:t>
      </w:r>
      <w:r>
        <w:rPr>
          <w:lang w:val="en-TH"/>
        </w:rPr>
        <w:lastRenderedPageBreak/>
        <w:t>matched by</w:t>
      </w:r>
      <w:r w:rsidRPr="00EE3E30">
        <w:rPr>
          <w:lang w:val="en-TH"/>
        </w:rPr>
        <w:t>: All criteria” so KNIME keeps only records with non-zero medical values, demonstrating a naïve “drop rows with 0s” cleaning approach.</w:t>
      </w:r>
    </w:p>
    <w:p w14:paraId="714D7457" w14:textId="027D4927" w:rsidR="00EE3E30" w:rsidRPr="00EE3E30" w:rsidRDefault="00EE3E30" w:rsidP="00EE3E30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1B6BFBBE" wp14:editId="34D02C3D">
            <wp:extent cx="2206800" cy="3600000"/>
            <wp:effectExtent l="0" t="0" r="3175" b="0"/>
            <wp:docPr id="1671951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1995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14E" w14:textId="481EB94A" w:rsidR="00EE3E30" w:rsidRP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1.5 Statistics (show data loss from drop-0s)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Statistics</w:t>
      </w:r>
      <w:r w:rsidRPr="00EE3E30">
        <w:rPr>
          <w:lang w:val="en-TH"/>
        </w:rPr>
        <w:t xml:space="preserve"> node, connect it after this Row Filter, execute</w:t>
      </w:r>
      <w:r>
        <w:rPr>
          <w:lang w:val="en-TH"/>
        </w:rPr>
        <w:t>,</w:t>
      </w:r>
      <w:r w:rsidRPr="00EE3E30">
        <w:rPr>
          <w:lang w:val="en-TH"/>
        </w:rPr>
        <w:t xml:space="preserve"> and open the view to see that the row count falls from 768 to only ~400 rows, illustrating that this hard filtering discards many patients and motivating the other branch</w:t>
      </w:r>
      <w:r>
        <w:rPr>
          <w:lang w:val="en-TH"/>
        </w:rPr>
        <w:t>,</w:t>
      </w:r>
      <w:r w:rsidRPr="00EE3E30">
        <w:rPr>
          <w:lang w:val="en-TH"/>
        </w:rPr>
        <w:t xml:space="preserve"> where we convert 0s to missing values and impute them instead.</w:t>
      </w:r>
    </w:p>
    <w:p w14:paraId="6A555C27" w14:textId="23BC24EF" w:rsidR="00EE3E30" w:rsidRDefault="00EE3E30" w:rsidP="00261CCB">
      <w:pPr>
        <w:spacing w:after="160" w:line="259" w:lineRule="auto"/>
      </w:pPr>
      <w:r w:rsidRPr="00EE3E30">
        <w:rPr>
          <w:b/>
          <w:bCs/>
        </w:rPr>
        <w:t>1.6 Expression (force 0 values to missing)</w:t>
      </w:r>
      <w:r w:rsidRPr="00EE3E30">
        <w:br/>
        <w:t xml:space="preserve">Drag an </w:t>
      </w:r>
      <w:r w:rsidRPr="00EE3E30">
        <w:rPr>
          <w:b/>
          <w:bCs/>
        </w:rPr>
        <w:t>Expression</w:t>
      </w:r>
      <w:r w:rsidRPr="00EE3E30">
        <w:t xml:space="preserve"> node, connect it after </w:t>
      </w:r>
      <w:r w:rsidRPr="00EE3E30">
        <w:rPr>
          <w:b/>
          <w:bCs/>
        </w:rPr>
        <w:t>Number to String</w:t>
      </w:r>
      <w:r w:rsidRPr="00EE3E30">
        <w:t>, and for each clinical column (Glucose, BloodPressure, SkinThickness, Insulin, BMI) add an expression like</w:t>
      </w:r>
      <w:r w:rsidR="003951DC">
        <w:t xml:space="preserve"> </w:t>
      </w:r>
      <w:r w:rsidRPr="00EE3E30">
        <w:rPr>
          <w:b/>
          <w:bCs/>
        </w:rPr>
        <w:t>if($Glucose$ == 0, MISSING, $Glucose$) (set “Output replaces ‘Glucose’”)</w:t>
      </w:r>
      <w:r w:rsidRPr="00EE3E30">
        <w:t xml:space="preserve"> so that any impossible 0 is turned into a missing value that can later be filled by the </w:t>
      </w:r>
      <w:r w:rsidRPr="00EE3E30">
        <w:rPr>
          <w:b/>
          <w:bCs/>
        </w:rPr>
        <w:t>Missing Value</w:t>
      </w:r>
      <w:r w:rsidRPr="00EE3E30">
        <w:t xml:space="preserve"> (mean imputation) node instead of dropping whole rows</w:t>
      </w:r>
      <w:r>
        <w:t>.</w:t>
      </w:r>
    </w:p>
    <w:p w14:paraId="3FA4900F" w14:textId="7DACD431" w:rsidR="00EE3E30" w:rsidRDefault="00EE3E30" w:rsidP="00EE3E30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FBF4247" wp14:editId="3C83EE61">
            <wp:extent cx="2579077" cy="3161212"/>
            <wp:effectExtent l="0" t="0" r="0" b="1270"/>
            <wp:docPr id="27361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6361" name="Picture 273616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77" cy="31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664" w14:textId="5F0B1ECA" w:rsidR="00261CCB" w:rsidRPr="00261CCB" w:rsidRDefault="00EE3E30" w:rsidP="00507E5E">
      <w:pPr>
        <w:spacing w:after="160" w:line="259" w:lineRule="auto"/>
        <w:rPr>
          <w:lang w:val="en-TH"/>
        </w:rPr>
      </w:pPr>
      <w:r>
        <w:rPr>
          <w:rStyle w:val="Strong"/>
        </w:rPr>
        <w:t>1.7 Missing Value (mean imputation for numeric columns)</w:t>
      </w:r>
      <w:r>
        <w:br/>
        <w:t xml:space="preserve">Drag a </w:t>
      </w:r>
      <w:r>
        <w:rPr>
          <w:rStyle w:val="Strong"/>
        </w:rPr>
        <w:t>Missing Value</w:t>
      </w:r>
      <w:r>
        <w:t xml:space="preserve"> node, connect it after </w:t>
      </w:r>
      <w:r>
        <w:rPr>
          <w:rStyle w:val="Strong"/>
        </w:rPr>
        <w:t>Expression</w:t>
      </w:r>
      <w:r>
        <w:t xml:space="preserve">, then double-click to open its configuration and on the </w:t>
      </w:r>
      <w:r>
        <w:rPr>
          <w:rStyle w:val="Strong"/>
        </w:rPr>
        <w:t>Default</w:t>
      </w:r>
      <w:r>
        <w:t xml:space="preserve"> tab set </w:t>
      </w:r>
      <w:r>
        <w:rPr>
          <w:rStyle w:val="HTMLCode"/>
          <w:rFonts w:eastAsiaTheme="majorEastAsia"/>
        </w:rPr>
        <w:t>Number (Integer)</w:t>
      </w:r>
      <w:r>
        <w:t xml:space="preserve">, </w:t>
      </w:r>
      <w:r>
        <w:rPr>
          <w:rStyle w:val="HTMLCode"/>
          <w:rFonts w:eastAsiaTheme="majorEastAsia"/>
        </w:rPr>
        <w:t>Number (Long Integer)</w:t>
      </w:r>
      <w:r>
        <w:t xml:space="preserve"> and </w:t>
      </w:r>
      <w:r>
        <w:rPr>
          <w:rStyle w:val="HTMLCode"/>
          <w:rFonts w:eastAsiaTheme="majorEastAsia"/>
        </w:rPr>
        <w:t>Number (Float)</w:t>
      </w:r>
      <w:r>
        <w:t xml:space="preserve"> to </w:t>
      </w:r>
      <w:r>
        <w:rPr>
          <w:rStyle w:val="Strong"/>
        </w:rPr>
        <w:t>Mean</w:t>
      </w:r>
      <w:r>
        <w:t xml:space="preserve"> (leave </w:t>
      </w:r>
      <w:r>
        <w:rPr>
          <w:rStyle w:val="HTMLCode"/>
          <w:rFonts w:eastAsiaTheme="majorEastAsia"/>
        </w:rPr>
        <w:t>String</w:t>
      </w:r>
      <w:r>
        <w:t xml:space="preserve"> as “Most Frequent Value”); this fills all the new missing values in the medical numeric columns with their column means so the next nodes receive a complete table with no missing entries.</w:t>
      </w:r>
      <w:r>
        <w:rPr>
          <w:noProof/>
          <w:lang w:val="en-TH"/>
        </w:rPr>
        <w:drawing>
          <wp:inline distT="0" distB="0" distL="0" distR="0" wp14:anchorId="668CFF56" wp14:editId="73B3206A">
            <wp:extent cx="5731510" cy="1482090"/>
            <wp:effectExtent l="0" t="0" r="0" b="3810"/>
            <wp:docPr id="157327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4215" name="Picture 1573274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1231" w14:textId="5E6DF0F6" w:rsid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>1.</w:t>
      </w:r>
      <w:r w:rsidR="00507E5E">
        <w:rPr>
          <w:lang w:val="en-TH"/>
        </w:rPr>
        <w:t>8</w:t>
      </w:r>
      <w:r w:rsidRPr="00261CCB">
        <w:rPr>
          <w:lang w:val="en-TH"/>
        </w:rPr>
        <w:t xml:space="preserve"> </w:t>
      </w:r>
      <w:r w:rsidRPr="00261CCB">
        <w:rPr>
          <w:b/>
          <w:bCs/>
          <w:lang w:val="en-TH"/>
        </w:rPr>
        <w:t>Table Partitioner</w:t>
      </w:r>
      <w:r w:rsidRPr="00261CCB">
        <w:rPr>
          <w:lang w:val="en-TH"/>
        </w:rPr>
        <w:t xml:space="preserve"> – Drag Table Partitioner, connect from </w:t>
      </w:r>
      <w:r w:rsidR="00507E5E">
        <w:rPr>
          <w:rStyle w:val="Strong"/>
        </w:rPr>
        <w:t>Missing Value</w:t>
      </w:r>
      <w:r w:rsidRPr="00261CCB">
        <w:rPr>
          <w:lang w:val="en-TH"/>
        </w:rPr>
        <w:t xml:space="preserve">, choose a train/test split (e.g. 70/30) and tick “Stratified” by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>; this creates a fair split with similar class balance in both partitions.</w:t>
      </w:r>
    </w:p>
    <w:p w14:paraId="1B369F79" w14:textId="332E8FE2" w:rsidR="00507E5E" w:rsidRDefault="00507E5E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>1.</w:t>
      </w:r>
      <w:r>
        <w:rPr>
          <w:lang w:val="en-TH"/>
        </w:rPr>
        <w:t>9</w:t>
      </w:r>
      <w:r w:rsidRPr="00261CCB">
        <w:rPr>
          <w:lang w:val="en-TH"/>
        </w:rPr>
        <w:t xml:space="preserve"> </w:t>
      </w:r>
      <w:r w:rsidRPr="00261CCB">
        <w:rPr>
          <w:b/>
          <w:bCs/>
          <w:lang w:val="en-TH"/>
        </w:rPr>
        <w:t>Normalizer (Standardization)</w:t>
      </w:r>
      <w:r w:rsidRPr="00261CCB">
        <w:rPr>
          <w:lang w:val="en-TH"/>
        </w:rPr>
        <w:t xml:space="preserve"> – Drag Normalizer, connect from </w:t>
      </w:r>
      <w:r w:rsidRPr="00261CCB">
        <w:rPr>
          <w:b/>
          <w:bCs/>
          <w:lang w:val="en-TH"/>
        </w:rPr>
        <w:t>Table Partitioner</w:t>
      </w:r>
      <w:r>
        <w:rPr>
          <w:b/>
          <w:bCs/>
          <w:lang w:val="en-TH"/>
        </w:rPr>
        <w:t xml:space="preserve"> training set</w:t>
      </w:r>
      <w:r w:rsidRPr="00261CCB">
        <w:rPr>
          <w:lang w:val="en-TH"/>
        </w:rPr>
        <w:t xml:space="preserve">, set method to </w:t>
      </w:r>
      <w:r w:rsidRPr="00261CCB">
        <w:rPr>
          <w:i/>
          <w:iCs/>
          <w:lang w:val="en-TH"/>
        </w:rPr>
        <w:t>z-score/standardization</w:t>
      </w:r>
      <w:r w:rsidRPr="00261CCB">
        <w:rPr>
          <w:lang w:val="en-TH"/>
        </w:rPr>
        <w:t xml:space="preserve"> for all feature columns; this gives zero-mean, unit-variance inputs for Logistic Regression.</w:t>
      </w:r>
    </w:p>
    <w:p w14:paraId="59565F49" w14:textId="01777306" w:rsidR="00507E5E" w:rsidRPr="00261CCB" w:rsidRDefault="00507E5E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>1.</w:t>
      </w:r>
      <w:r>
        <w:rPr>
          <w:lang w:val="en-TH"/>
        </w:rPr>
        <w:t>10</w:t>
      </w:r>
      <w:r w:rsidRPr="00261CCB">
        <w:rPr>
          <w:lang w:val="en-TH"/>
        </w:rPr>
        <w:t xml:space="preserve"> </w:t>
      </w:r>
      <w:r w:rsidRPr="00261CCB">
        <w:rPr>
          <w:b/>
          <w:bCs/>
          <w:lang w:val="en-TH"/>
        </w:rPr>
        <w:t>Normalizer (</w:t>
      </w:r>
      <w:r>
        <w:rPr>
          <w:b/>
          <w:bCs/>
          <w:lang w:val="en-TH"/>
        </w:rPr>
        <w:t>Apply</w:t>
      </w:r>
      <w:r w:rsidRPr="00261CCB">
        <w:rPr>
          <w:b/>
          <w:bCs/>
          <w:lang w:val="en-TH"/>
        </w:rPr>
        <w:t>)</w:t>
      </w:r>
      <w:r w:rsidRPr="00261CCB">
        <w:rPr>
          <w:lang w:val="en-TH"/>
        </w:rPr>
        <w:t xml:space="preserve"> – Drag Normalizer</w:t>
      </w:r>
      <w:r>
        <w:rPr>
          <w:lang w:val="en-TH"/>
        </w:rPr>
        <w:t xml:space="preserve"> (Apply)</w:t>
      </w:r>
      <w:r w:rsidRPr="00261CCB">
        <w:rPr>
          <w:lang w:val="en-TH"/>
        </w:rPr>
        <w:t xml:space="preserve">, connect from </w:t>
      </w:r>
      <w:r>
        <w:rPr>
          <w:b/>
          <w:bCs/>
          <w:lang w:val="en-TH"/>
        </w:rPr>
        <w:t>Normalizer model and Table patritioner testing set</w:t>
      </w:r>
      <w:r>
        <w:rPr>
          <w:lang w:val="en-TH"/>
        </w:rPr>
        <w:t>. We will use the output of this node for all the test set that feed into models later.</w:t>
      </w:r>
    </w:p>
    <w:p w14:paraId="4197AD8E" w14:textId="77777777" w:rsidR="00261CCB" w:rsidRPr="00261CCB" w:rsidRDefault="005F02B8" w:rsidP="00261CCB">
      <w:pPr>
        <w:spacing w:after="160" w:line="259" w:lineRule="auto"/>
        <w:rPr>
          <w:lang w:val="en-TH"/>
        </w:rPr>
      </w:pPr>
      <w:r w:rsidRPr="005F02B8">
        <w:rPr>
          <w:noProof/>
          <w:lang w:val="en-TH"/>
        </w:rPr>
        <w:pict w14:anchorId="4C2D22EF">
          <v:rect id="_x0000_i1026" alt="" style="width:435.25pt;height:.05pt;mso-width-percent:0;mso-height-percent:0;mso-width-percent:0;mso-height-percent:0" o:hrpct="930" o:hralign="center" o:hrstd="t" o:hr="t" fillcolor="#a0a0a0" stroked="f"/>
        </w:pict>
      </w:r>
    </w:p>
    <w:p w14:paraId="72E9EC8F" w14:textId="77777777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2) Decision Tree (Baseline Model) block</w:t>
      </w:r>
    </w:p>
    <w:p w14:paraId="13253133" w14:textId="781C7BE7" w:rsid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2.1 </w:t>
      </w:r>
      <w:r w:rsidRPr="00261CCB">
        <w:rPr>
          <w:b/>
          <w:bCs/>
          <w:lang w:val="en-TH"/>
        </w:rPr>
        <w:t>Decision Tree Learner</w:t>
      </w:r>
      <w:r w:rsidRPr="00261CCB">
        <w:rPr>
          <w:lang w:val="en-TH"/>
        </w:rPr>
        <w:t xml:space="preserve"> – Drag Decision Tree Learner, connect its data input to the</w:t>
      </w:r>
      <w:r w:rsidR="00507E5E">
        <w:rPr>
          <w:lang w:val="en-TH"/>
        </w:rPr>
        <w:t xml:space="preserve"> </w:t>
      </w:r>
      <w:r w:rsidRPr="00261CCB">
        <w:rPr>
          <w:lang w:val="en-TH"/>
        </w:rPr>
        <w:t xml:space="preserve">output port of </w:t>
      </w:r>
      <w:r w:rsidR="00507E5E">
        <w:rPr>
          <w:lang w:val="en-TH"/>
        </w:rPr>
        <w:t>Normalizer</w:t>
      </w:r>
      <w:r w:rsidRPr="00261CCB">
        <w:rPr>
          <w:lang w:val="en-TH"/>
        </w:rPr>
        <w:t xml:space="preserve"> (training data), configure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as class column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other settings (Gini, pruning, etc.)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execute to train the baseline tree.</w:t>
      </w:r>
    </w:p>
    <w:p w14:paraId="50A74E16" w14:textId="17DF7E95" w:rsidR="003951DC" w:rsidRPr="00261CCB" w:rsidRDefault="003951DC" w:rsidP="003951DC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7407D039" wp14:editId="638EE8D5">
            <wp:extent cx="2584800" cy="3600000"/>
            <wp:effectExtent l="0" t="0" r="6350" b="0"/>
            <wp:docPr id="17318960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6046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FC3" w14:textId="0AFD47E0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2.2 </w:t>
      </w:r>
      <w:r w:rsidRPr="00261CCB">
        <w:rPr>
          <w:b/>
          <w:bCs/>
          <w:lang w:val="en-TH"/>
        </w:rPr>
        <w:t>Decision Tree Predictor (direct KNIME evaluation)</w:t>
      </w:r>
      <w:r w:rsidRPr="00261CCB">
        <w:rPr>
          <w:lang w:val="en-TH"/>
        </w:rPr>
        <w:t xml:space="preserve"> – Drag Decision Tree Predictor, connect its model input to the Decision Tree Learner and its data input to the output port of </w:t>
      </w:r>
      <w:r w:rsidR="00507E5E">
        <w:rPr>
          <w:lang w:val="en-TH"/>
        </w:rPr>
        <w:t>Normalizer (Apply)</w:t>
      </w:r>
      <w:r w:rsidRPr="00261CCB">
        <w:rPr>
          <w:lang w:val="en-TH"/>
        </w:rPr>
        <w:t xml:space="preserve"> (test data); execute to get predictions.</w:t>
      </w:r>
    </w:p>
    <w:p w14:paraId="02183218" w14:textId="2683584E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2.3 </w:t>
      </w:r>
      <w:r w:rsidRPr="00261CCB">
        <w:rPr>
          <w:b/>
          <w:bCs/>
          <w:lang w:val="en-TH"/>
        </w:rPr>
        <w:t>Scorer</w:t>
      </w:r>
      <w:r w:rsidRPr="00261CCB">
        <w:rPr>
          <w:lang w:val="en-TH"/>
        </w:rPr>
        <w:t xml:space="preserve"> – Drag Scorer, connect from Decision Tree Predictor output and configure Outcome as true class; execute to view accuracy, confusion matrix, ROC etc. – this is the KNIME-side evaluation of the baseline.</w:t>
      </w:r>
    </w:p>
    <w:p w14:paraId="7546634F" w14:textId="732EB481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 xml:space="preserve">2.4 </w:t>
      </w:r>
      <w:r w:rsidRPr="00261CCB">
        <w:rPr>
          <w:b/>
          <w:bCs/>
          <w:lang w:val="en-TH"/>
        </w:rPr>
        <w:t>PMML Writer (export tree to Python)</w:t>
      </w:r>
      <w:r w:rsidRPr="00261CCB">
        <w:rPr>
          <w:lang w:val="en-TH"/>
        </w:rPr>
        <w:t xml:space="preserve"> – Drag PMML Writer, connect the model port from Decision Tree Learner</w:t>
      </w:r>
      <w:r w:rsidR="00653C12">
        <w:rPr>
          <w:lang w:val="en-TH"/>
        </w:rPr>
        <w:t>,</w:t>
      </w:r>
      <w:r w:rsidRPr="00261CCB">
        <w:rPr>
          <w:lang w:val="en-TH"/>
        </w:rPr>
        <w:t xml:space="preserve"> and configure it to write d-tree.pmml into the </w:t>
      </w:r>
      <w:r w:rsidR="00653C12">
        <w:rPr>
          <w:lang w:val="en-TH"/>
        </w:rPr>
        <w:t>destination</w:t>
      </w:r>
      <w:r w:rsidRPr="00261CCB">
        <w:rPr>
          <w:lang w:val="en-TH"/>
        </w:rPr>
        <w:t xml:space="preserve"> folder; this file will later be loaded and evaluated in Python.</w:t>
      </w:r>
    </w:p>
    <w:p w14:paraId="792B7282" w14:textId="591F544E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2.5 Column Filter (simulate unlabeled deployment data)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Column Filter</w:t>
      </w:r>
      <w:r w:rsidRPr="005933D7">
        <w:rPr>
          <w:lang w:val="en-TH"/>
        </w:rPr>
        <w:t xml:space="preserve"> node, connect it from the </w:t>
      </w:r>
      <w:r w:rsidR="00507E5E">
        <w:rPr>
          <w:b/>
          <w:bCs/>
          <w:lang w:val="en-TH"/>
        </w:rPr>
        <w:t>normalizer (apply)</w:t>
      </w:r>
      <w:r w:rsidRPr="005933D7">
        <w:rPr>
          <w:lang w:val="en-TH"/>
        </w:rPr>
        <w:t xml:space="preserve">, and </w:t>
      </w:r>
      <w:r w:rsidRPr="005933D7">
        <w:rPr>
          <w:i/>
          <w:iCs/>
          <w:lang w:val="en-TH"/>
        </w:rPr>
        <w:t>deselect</w:t>
      </w:r>
      <w:r w:rsidRPr="005933D7">
        <w:rPr>
          <w:lang w:val="en-TH"/>
        </w:rPr>
        <w:t xml:space="preserve"> the </w:t>
      </w:r>
      <w:r w:rsidRPr="005933D7">
        <w:rPr>
          <w:b/>
          <w:bCs/>
          <w:lang w:val="en-TH"/>
        </w:rPr>
        <w:t>Outcome</w:t>
      </w:r>
      <w:r w:rsidRPr="005933D7">
        <w:rPr>
          <w:lang w:val="en-TH"/>
        </w:rPr>
        <w:t xml:space="preserve"> column so only the predictor features remain; this simulates a real deployment situation where you want to score new patients but do not know their diagnosis yet.</w:t>
      </w:r>
    </w:p>
    <w:p w14:paraId="12D4CE5B" w14:textId="77777777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2.6 PMML Reader + Decision Tree Predictor (deployment branch)</w:t>
      </w:r>
      <w:r w:rsidRPr="005933D7">
        <w:rPr>
          <w:lang w:val="en-TH"/>
        </w:rPr>
        <w:br/>
        <w:t xml:space="preserve">Use </w:t>
      </w:r>
      <w:r w:rsidRPr="005933D7">
        <w:rPr>
          <w:b/>
          <w:bCs/>
          <w:lang w:val="en-TH"/>
        </w:rPr>
        <w:t>PMML Reader</w:t>
      </w:r>
      <w:r w:rsidRPr="005933D7">
        <w:rPr>
          <w:lang w:val="en-TH"/>
        </w:rPr>
        <w:t xml:space="preserve"> to load the saved </w:t>
      </w:r>
      <w:r w:rsidRPr="005933D7">
        <w:rPr>
          <w:b/>
          <w:bCs/>
          <w:lang w:val="en-TH"/>
        </w:rPr>
        <w:t>d-tree.pmml</w:t>
      </w:r>
      <w:r w:rsidRPr="005933D7">
        <w:rPr>
          <w:lang w:val="en-TH"/>
        </w:rPr>
        <w:t xml:space="preserve">, then drag a second </w:t>
      </w:r>
      <w:r w:rsidRPr="005933D7">
        <w:rPr>
          <w:b/>
          <w:bCs/>
          <w:lang w:val="en-TH"/>
        </w:rPr>
        <w:t>Decision Tree Predictor</w:t>
      </w:r>
      <w:r w:rsidRPr="005933D7">
        <w:rPr>
          <w:lang w:val="en-TH"/>
        </w:rPr>
        <w:t xml:space="preserve"> and connect its </w:t>
      </w:r>
      <w:r w:rsidRPr="005933D7">
        <w:rPr>
          <w:i/>
          <w:iCs/>
          <w:lang w:val="en-TH"/>
        </w:rPr>
        <w:t>model</w:t>
      </w:r>
      <w:r w:rsidRPr="005933D7">
        <w:rPr>
          <w:lang w:val="en-TH"/>
        </w:rPr>
        <w:t xml:space="preserve"> input to the PMML Reader and its </w:t>
      </w:r>
      <w:r w:rsidRPr="005933D7">
        <w:rPr>
          <w:i/>
          <w:iCs/>
          <w:lang w:val="en-TH"/>
        </w:rPr>
        <w:t>data</w:t>
      </w:r>
      <w:r w:rsidRPr="005933D7">
        <w:rPr>
          <w:lang w:val="en-TH"/>
        </w:rPr>
        <w:t xml:space="preserve"> input to the Column Filter output; this shows how a trained tree model, stored as PMML, can be reloaded and applied to feature-only data in a separate workflow or at deployment time.</w:t>
      </w:r>
    </w:p>
    <w:p w14:paraId="08FD268B" w14:textId="4D3ED7C4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2.7 CSV Writer (prediction.csv for external use</w:t>
      </w:r>
      <w:r w:rsidR="00227B5D">
        <w:rPr>
          <w:b/>
          <w:bCs/>
          <w:lang w:val="en-TH"/>
        </w:rPr>
        <w:t>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CSV Writer</w:t>
      </w:r>
      <w:r w:rsidRPr="005933D7">
        <w:rPr>
          <w:lang w:val="en-TH"/>
        </w:rPr>
        <w:t xml:space="preserve">, connect it to the second Decision Tree Predictor, and configure it to write prediction.csv into the </w:t>
      </w:r>
      <w:r>
        <w:rPr>
          <w:lang w:val="en-TH"/>
        </w:rPr>
        <w:t>destination</w:t>
      </w:r>
      <w:r w:rsidRPr="005933D7">
        <w:rPr>
          <w:lang w:val="en-TH"/>
        </w:rPr>
        <w:t xml:space="preserve"> folder; this exports the predicted class and probabilities for each patient, which can be used as the final deployment output</w:t>
      </w:r>
      <w:r>
        <w:rPr>
          <w:lang w:val="en-TH"/>
        </w:rPr>
        <w:t>.</w:t>
      </w:r>
    </w:p>
    <w:p w14:paraId="117F7D14" w14:textId="77777777" w:rsidR="00261CCB" w:rsidRPr="00261CCB" w:rsidRDefault="005F02B8" w:rsidP="00261CCB">
      <w:pPr>
        <w:spacing w:after="160" w:line="259" w:lineRule="auto"/>
        <w:rPr>
          <w:lang w:val="en-TH"/>
        </w:rPr>
      </w:pPr>
      <w:r w:rsidRPr="005F02B8">
        <w:rPr>
          <w:noProof/>
          <w:lang w:val="en-TH"/>
        </w:rPr>
        <w:pict w14:anchorId="07E0F09E">
          <v:rect id="_x0000_i1025" alt="" style="width:435.25pt;height:.05pt;mso-width-percent:0;mso-height-percent:0;mso-width-percent:0;mso-height-percent:0" o:hrpct="930" o:hralign="center" o:hrstd="t" o:hr="t" fillcolor="#a0a0a0" stroked="f"/>
        </w:pict>
      </w:r>
    </w:p>
    <w:p w14:paraId="62EE1AEA" w14:textId="77777777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3) Logistic Regression Model &amp; Global Feature Importances block</w:t>
      </w:r>
    </w:p>
    <w:p w14:paraId="638B7B1E" w14:textId="13CBE9D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3.1 </w:t>
      </w:r>
      <w:r w:rsidRPr="00261CCB">
        <w:rPr>
          <w:b/>
          <w:bCs/>
          <w:lang w:val="en-TH"/>
        </w:rPr>
        <w:t>Logistic Regression Learner</w:t>
      </w:r>
      <w:r w:rsidRPr="00261CCB">
        <w:rPr>
          <w:lang w:val="en-TH"/>
        </w:rPr>
        <w:t xml:space="preserve"> – Drag Logistic Regression Learner, connect its data input to the output of </w:t>
      </w:r>
      <w:r w:rsidR="00507E5E">
        <w:rPr>
          <w:lang w:val="en-TH"/>
        </w:rPr>
        <w:t xml:space="preserve">Normalizer </w:t>
      </w:r>
      <w:r w:rsidRPr="00261CCB">
        <w:rPr>
          <w:lang w:val="en-TH"/>
        </w:rPr>
        <w:t>(standardized training data), set Outcome as the target and run it to train the LR model.</w:t>
      </w:r>
    </w:p>
    <w:p w14:paraId="78FF0E41" w14:textId="749613D6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3.2 </w:t>
      </w:r>
      <w:r w:rsidRPr="00261CCB">
        <w:rPr>
          <w:b/>
          <w:bCs/>
          <w:lang w:val="en-TH"/>
        </w:rPr>
        <w:t>Logistic Regression Predictor</w:t>
      </w:r>
      <w:r w:rsidRPr="00261CCB">
        <w:rPr>
          <w:lang w:val="en-TH"/>
        </w:rPr>
        <w:t xml:space="preserve"> – Drag Logistic Regression Predictor, connect the model input from the LR Learner and the data input from the output of </w:t>
      </w:r>
      <w:r w:rsidR="00507E5E">
        <w:rPr>
          <w:lang w:val="en-TH"/>
        </w:rPr>
        <w:t>Normalizer (Apply)</w:t>
      </w:r>
      <w:r w:rsidRPr="00261CCB">
        <w:rPr>
          <w:lang w:val="en-TH"/>
        </w:rPr>
        <w:t xml:space="preserve"> (test data); execute to obtain probability scores and predicted class.</w:t>
      </w:r>
    </w:p>
    <w:p w14:paraId="6BD2C414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lastRenderedPageBreak/>
        <w:t xml:space="preserve">3.3 </w:t>
      </w:r>
      <w:r w:rsidRPr="00261CCB">
        <w:rPr>
          <w:b/>
          <w:bCs/>
          <w:lang w:val="en-TH"/>
        </w:rPr>
        <w:t>Scorer (LR evaluation)</w:t>
      </w:r>
      <w:r w:rsidRPr="00261CCB">
        <w:rPr>
          <w:lang w:val="en-TH"/>
        </w:rPr>
        <w:t xml:space="preserve"> – Drag another Scorer, connect from LR Predictor, configure Outcome as the true class, and execute to compare LR performance with the Decision Tree baseline.</w:t>
      </w:r>
    </w:p>
    <w:p w14:paraId="0FB925D6" w14:textId="00EBAE9C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3.4 </w:t>
      </w:r>
      <w:r w:rsidRPr="00261CCB">
        <w:rPr>
          <w:b/>
          <w:bCs/>
          <w:lang w:val="en-TH"/>
        </w:rPr>
        <w:t>PMML Writer (export LR to Python)</w:t>
      </w:r>
      <w:r w:rsidRPr="00261CCB">
        <w:rPr>
          <w:lang w:val="en-TH"/>
        </w:rPr>
        <w:t xml:space="preserve"> – Drag PMML Writer, connect from Logistic Regression Learner’s model port, configure the file name log-reg.pmml in the </w:t>
      </w:r>
      <w:r w:rsidR="00514DD3">
        <w:rPr>
          <w:lang w:val="en-TH"/>
        </w:rPr>
        <w:t>destination</w:t>
      </w:r>
      <w:r w:rsidRPr="00261CCB">
        <w:rPr>
          <w:lang w:val="en-TH"/>
        </w:rPr>
        <w:t xml:space="preserve"> folder; this allows the Python notebook to load and evaluate the KNIME LR model via PyPMML.</w:t>
      </w:r>
    </w:p>
    <w:p w14:paraId="4CED2BE1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3.5 </w:t>
      </w:r>
      <w:r w:rsidRPr="00261CCB">
        <w:rPr>
          <w:b/>
          <w:bCs/>
          <w:lang w:val="en-TH"/>
        </w:rPr>
        <w:t>Capture Workflow Start / End (wrap LR workflow as object)</w:t>
      </w:r>
      <w:r w:rsidRPr="00261CCB">
        <w:rPr>
          <w:lang w:val="en-TH"/>
        </w:rPr>
        <w:t xml:space="preserve"> – Drag Capture Workflow Start before the LR Predictor/Scorer branch and Capture Workflow End after them; this turns the whole LR scoring workflow into a </w:t>
      </w:r>
      <w:r w:rsidRPr="00261CCB">
        <w:rPr>
          <w:b/>
          <w:bCs/>
          <w:lang w:val="en-TH"/>
        </w:rPr>
        <w:t>workflow object</w:t>
      </w:r>
      <w:r w:rsidRPr="00261CCB">
        <w:rPr>
          <w:lang w:val="en-TH"/>
        </w:rPr>
        <w:t xml:space="preserve"> that the Global Feature Importance component can call internally.</w:t>
      </w:r>
    </w:p>
    <w:p w14:paraId="7F0D2467" w14:textId="7C1B3B81" w:rsidR="008C2551" w:rsidRDefault="008C2551" w:rsidP="008C2551">
      <w:pPr>
        <w:spacing w:after="160" w:line="259" w:lineRule="auto"/>
        <w:jc w:val="both"/>
      </w:pPr>
      <w:r>
        <w:rPr>
          <w:rStyle w:val="Strong"/>
        </w:rPr>
        <w:t>3.6 Global Feature Importance (download component from KNIME Hub and connect it)</w:t>
      </w:r>
      <w:r>
        <w:br/>
        <w:t>At the top-right of KNIME, click ‘</w:t>
      </w:r>
      <w:r>
        <w:rPr>
          <w:rStyle w:val="Strong"/>
        </w:rPr>
        <w:t>(?) button’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KNIME Hub</w:t>
      </w:r>
      <w:r>
        <w:t xml:space="preserve">, </w:t>
      </w:r>
    </w:p>
    <w:p w14:paraId="1110D3FE" w14:textId="7FA52F1B" w:rsidR="00003C8D" w:rsidRDefault="00003C8D" w:rsidP="00003C8D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5E23F1C0" wp14:editId="57460A41">
            <wp:extent cx="2073600" cy="2160000"/>
            <wp:effectExtent l="0" t="0" r="0" b="0"/>
            <wp:docPr id="42671125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1255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4F7" w14:textId="6BBE8459" w:rsidR="008C2551" w:rsidRDefault="008C2551" w:rsidP="008C2551">
      <w:pPr>
        <w:spacing w:after="160" w:line="259" w:lineRule="auto"/>
        <w:jc w:val="both"/>
      </w:pPr>
      <w:r>
        <w:t xml:space="preserve">then in the Hub search box type </w:t>
      </w:r>
      <w:r>
        <w:rPr>
          <w:rStyle w:val="Strong"/>
        </w:rPr>
        <w:t>“Global Feature Importance”</w:t>
      </w:r>
      <w:r>
        <w:t xml:space="preserve"> and open the component page; </w:t>
      </w:r>
    </w:p>
    <w:p w14:paraId="230702B3" w14:textId="77C257E1" w:rsidR="00003C8D" w:rsidRDefault="00003C8D" w:rsidP="00003C8D">
      <w:pPr>
        <w:spacing w:after="160" w:line="259" w:lineRule="auto"/>
        <w:jc w:val="center"/>
      </w:pPr>
      <w:r>
        <w:rPr>
          <w:rFonts w:eastAsiaTheme="majorEastAsia"/>
          <w:b/>
          <w:bCs/>
          <w:noProof/>
          <w:color w:val="FFFFFF" w:themeColor="background1"/>
        </w:rPr>
        <w:lastRenderedPageBreak/>
        <w:drawing>
          <wp:inline distT="0" distB="0" distL="0" distR="0" wp14:anchorId="75B238CA" wp14:editId="276C137F">
            <wp:extent cx="5731510" cy="2027555"/>
            <wp:effectExtent l="0" t="0" r="0" b="4445"/>
            <wp:docPr id="9667356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5617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1679" w14:textId="47D2C06F" w:rsidR="00003C8D" w:rsidRDefault="008C2551" w:rsidP="00003C8D">
      <w:pPr>
        <w:spacing w:after="160" w:line="259" w:lineRule="auto"/>
        <w:jc w:val="both"/>
      </w:pPr>
      <w:r>
        <w:t xml:space="preserve">on that page, grab the small green </w:t>
      </w:r>
      <w:r>
        <w:rPr>
          <w:rStyle w:val="Strong"/>
        </w:rPr>
        <w:t>Drag &amp; drop</w:t>
      </w:r>
      <w:r>
        <w:t xml:space="preserve"> icon and drag it straight into your workflow editor, </w:t>
      </w:r>
      <w:r w:rsidR="00003C8D"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1C5EB411" wp14:editId="268F1489">
            <wp:extent cx="5731510" cy="2098040"/>
            <wp:effectExtent l="0" t="0" r="0" b="0"/>
            <wp:docPr id="348097611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7611" name="Picture 8" descr="A screenshot of a websit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ED1" w14:textId="3396A2A8" w:rsidR="00003C8D" w:rsidRDefault="00003C8D" w:rsidP="00003C8D">
      <w:pPr>
        <w:spacing w:after="160" w:line="259" w:lineRule="auto"/>
        <w:jc w:val="both"/>
      </w:pPr>
      <w:r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34EACED0" wp14:editId="21A87966">
            <wp:extent cx="5730240" cy="2228778"/>
            <wp:effectExtent l="0" t="0" r="0" b="0"/>
            <wp:docPr id="130527237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2378" name="Picture 11" descr="A screenshot of a computer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0" b="1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9FAFA" w14:textId="77777777" w:rsidR="008C2551" w:rsidRDefault="008C2551" w:rsidP="008C2551">
      <w:pPr>
        <w:spacing w:after="160" w:line="259" w:lineRule="auto"/>
        <w:jc w:val="both"/>
      </w:pPr>
      <w:r>
        <w:t xml:space="preserve">then connect its </w:t>
      </w:r>
      <w:r>
        <w:rPr>
          <w:rStyle w:val="Strong"/>
        </w:rPr>
        <w:t>model workflow</w:t>
      </w:r>
      <w:r>
        <w:t xml:space="preserve"> input port </w:t>
      </w:r>
      <w:r>
        <w:rPr>
          <w:rStyle w:val="HTMLCode"/>
          <w:rFonts w:eastAsiaTheme="majorEastAsia"/>
        </w:rPr>
        <w:t>0: Model as a Workflow Object</w:t>
      </w:r>
      <w:r>
        <w:t xml:space="preserve"> to </w:t>
      </w:r>
      <w:r>
        <w:rPr>
          <w:rStyle w:val="Strong"/>
        </w:rPr>
        <w:t>Capture Workflow End</w:t>
      </w:r>
      <w:r>
        <w:t xml:space="preserve">, its </w:t>
      </w:r>
      <w:r>
        <w:rPr>
          <w:rStyle w:val="Strong"/>
        </w:rPr>
        <w:t>data</w:t>
      </w:r>
      <w:r>
        <w:t xml:space="preserve"> input port </w:t>
      </w:r>
      <w:r>
        <w:rPr>
          <w:rStyle w:val="HTMLCode"/>
          <w:rFonts w:eastAsiaTheme="majorEastAsia"/>
        </w:rPr>
        <w:t>1: Data from Model Test Partition</w:t>
      </w:r>
      <w:r>
        <w:t xml:space="preserve"> to the </w:t>
      </w:r>
      <w:r>
        <w:rPr>
          <w:rStyle w:val="Strong"/>
        </w:rPr>
        <w:t>second output of Table Partitioner</w:t>
      </w:r>
      <w:r>
        <w:t xml:space="preserve"> (test data), execute the node, and finally right-click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>Open Interactive View</w:t>
      </w:r>
      <w:r>
        <w:t xml:space="preserve"> to explore how each feature contributes to the Logistic Regression model.</w:t>
      </w:r>
    </w:p>
    <w:p w14:paraId="3AE9E467" w14:textId="48272BD9" w:rsidR="00843067" w:rsidRDefault="00003C8D" w:rsidP="008C2551">
      <w:pPr>
        <w:spacing w:after="160" w:line="259" w:lineRule="auto"/>
        <w:jc w:val="center"/>
        <w:rPr>
          <w:rFonts w:eastAsiaTheme="majorEastAsia"/>
          <w:b/>
          <w:bCs/>
          <w:color w:val="FFFFFF" w:themeColor="background1"/>
        </w:rPr>
      </w:pPr>
      <w:r>
        <w:rPr>
          <w:rFonts w:eastAsiaTheme="majorEastAsia"/>
          <w:b/>
          <w:bCs/>
          <w:noProof/>
          <w:color w:val="FFFFFF" w:themeColor="background1"/>
        </w:rPr>
        <w:lastRenderedPageBreak/>
        <w:drawing>
          <wp:inline distT="0" distB="0" distL="0" distR="0" wp14:anchorId="74163A1C" wp14:editId="3E6772B6">
            <wp:extent cx="1893600" cy="3600000"/>
            <wp:effectExtent l="0" t="0" r="0" b="0"/>
            <wp:docPr id="1167471695" name="Picture 13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1695" name="Picture 13" descr="A screenshot of a survey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067" w:rsidSect="008C2F64">
      <w:headerReference w:type="default" r:id="rId19"/>
      <w:footerReference w:type="even" r:id="rId20"/>
      <w:footerReference w:type="default" r:id="rId21"/>
      <w:pgSz w:w="11906" w:h="16838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A676B" w14:textId="77777777" w:rsidR="005F02B8" w:rsidRDefault="005F02B8" w:rsidP="0004778F">
      <w:r>
        <w:separator/>
      </w:r>
    </w:p>
    <w:p w14:paraId="2C9E2999" w14:textId="77777777" w:rsidR="005F02B8" w:rsidRDefault="005F02B8" w:rsidP="0004778F"/>
  </w:endnote>
  <w:endnote w:type="continuationSeparator" w:id="0">
    <w:p w14:paraId="25B58F79" w14:textId="77777777" w:rsidR="005F02B8" w:rsidRDefault="005F02B8" w:rsidP="0004778F">
      <w:r>
        <w:continuationSeparator/>
      </w:r>
    </w:p>
    <w:p w14:paraId="414DEE6C" w14:textId="77777777" w:rsidR="005F02B8" w:rsidRDefault="005F02B8" w:rsidP="000477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762000"/>
      <w:docPartObj>
        <w:docPartGallery w:val="Page Numbers (Bottom of Page)"/>
        <w:docPartUnique/>
      </w:docPartObj>
    </w:sdtPr>
    <w:sdtContent>
      <w:p w14:paraId="253D75F2" w14:textId="300DBFC6" w:rsidR="00366C51" w:rsidRDefault="00366C51" w:rsidP="0004778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249A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E73DDF" w14:textId="77777777" w:rsidR="00366C51" w:rsidRDefault="00366C51" w:rsidP="0004778F">
    <w:pPr>
      <w:pStyle w:val="Footer"/>
    </w:pPr>
  </w:p>
  <w:p w14:paraId="112C3DC1" w14:textId="77777777" w:rsidR="00D162B0" w:rsidRDefault="00D162B0" w:rsidP="000477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A6A6A6" w:themeColor="background1" w:themeShade="A6"/>
        <w:sz w:val="24"/>
        <w:szCs w:val="24"/>
      </w:rPr>
      <w:id w:val="1876490501"/>
      <w:docPartObj>
        <w:docPartGallery w:val="Page Numbers (Bottom of Page)"/>
        <w:docPartUnique/>
      </w:docPartObj>
    </w:sdtPr>
    <w:sdtContent>
      <w:p w14:paraId="5E7D69FC" w14:textId="1C524107" w:rsidR="00366C51" w:rsidRPr="0004778F" w:rsidRDefault="00366C51" w:rsidP="00D1674F">
        <w:pPr>
          <w:pStyle w:val="Footer"/>
          <w:jc w:val="right"/>
          <w:rPr>
            <w:rStyle w:val="PageNumber"/>
            <w:color w:val="A6A6A6" w:themeColor="background1" w:themeShade="A6"/>
            <w:sz w:val="24"/>
            <w:szCs w:val="24"/>
          </w:rPr>
        </w:pP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begin"/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instrText xml:space="preserve"> PAGE </w:instrTex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separate"/>
        </w:r>
        <w:r w:rsidRPr="0004778F">
          <w:rPr>
            <w:rStyle w:val="PageNumber"/>
            <w:noProof/>
            <w:color w:val="A6A6A6" w:themeColor="background1" w:themeShade="A6"/>
            <w:sz w:val="24"/>
            <w:szCs w:val="24"/>
          </w:rPr>
          <w:t>1</w: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end"/>
        </w:r>
      </w:p>
    </w:sdtContent>
  </w:sdt>
  <w:p w14:paraId="6F16F337" w14:textId="77777777" w:rsidR="00366C51" w:rsidRDefault="00366C51" w:rsidP="0004778F">
    <w:pPr>
      <w:pStyle w:val="Footer"/>
    </w:pPr>
  </w:p>
  <w:p w14:paraId="7D88AF20" w14:textId="77777777" w:rsidR="00D162B0" w:rsidRDefault="00D162B0" w:rsidP="000477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5679B" w14:textId="77777777" w:rsidR="005F02B8" w:rsidRDefault="005F02B8" w:rsidP="0004778F">
      <w:r>
        <w:separator/>
      </w:r>
    </w:p>
    <w:p w14:paraId="1FC48D50" w14:textId="77777777" w:rsidR="005F02B8" w:rsidRDefault="005F02B8" w:rsidP="0004778F"/>
  </w:footnote>
  <w:footnote w:type="continuationSeparator" w:id="0">
    <w:p w14:paraId="61C13578" w14:textId="77777777" w:rsidR="005F02B8" w:rsidRDefault="005F02B8" w:rsidP="0004778F">
      <w:r>
        <w:continuationSeparator/>
      </w:r>
    </w:p>
    <w:p w14:paraId="4C2D3035" w14:textId="77777777" w:rsidR="005F02B8" w:rsidRDefault="005F02B8" w:rsidP="000477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8274" w14:textId="1B506381" w:rsidR="00D162B0" w:rsidRPr="00D1674F" w:rsidRDefault="004304DC" w:rsidP="00D1674F">
    <w:pPr>
      <w:pStyle w:val="Header"/>
      <w:tabs>
        <w:tab w:val="clear" w:pos="4513"/>
        <w:tab w:val="clear" w:pos="9026"/>
        <w:tab w:val="right" w:pos="9638"/>
      </w:tabs>
      <w:rPr>
        <w:color w:val="808080" w:themeColor="background1" w:themeShade="80"/>
        <w:sz w:val="24"/>
        <w:szCs w:val="24"/>
      </w:rPr>
    </w:pPr>
    <w:r w:rsidRPr="00D1674F">
      <w:rPr>
        <w:color w:val="808080" w:themeColor="background1" w:themeShade="80"/>
        <w:sz w:val="24"/>
        <w:szCs w:val="24"/>
      </w:rPr>
      <w:t>© Chulalongkorn University</w:t>
    </w:r>
    <w:r w:rsidRPr="00D1674F">
      <w:rPr>
        <w:color w:val="808080" w:themeColor="background1" w:themeShade="8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EE"/>
    <w:multiLevelType w:val="hybridMultilevel"/>
    <w:tmpl w:val="BBC60C22"/>
    <w:lvl w:ilvl="0" w:tplc="1910C70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00B5"/>
    <w:multiLevelType w:val="hybridMultilevel"/>
    <w:tmpl w:val="C6FA1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BD3"/>
    <w:multiLevelType w:val="hybridMultilevel"/>
    <w:tmpl w:val="E8A8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04DC4"/>
    <w:multiLevelType w:val="hybridMultilevel"/>
    <w:tmpl w:val="F2D81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6B25"/>
    <w:multiLevelType w:val="hybridMultilevel"/>
    <w:tmpl w:val="7122C4EE"/>
    <w:lvl w:ilvl="0" w:tplc="1910C70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CA24C2"/>
    <w:multiLevelType w:val="hybridMultilevel"/>
    <w:tmpl w:val="B9BE3D2A"/>
    <w:lvl w:ilvl="0" w:tplc="8800EE6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34DD4"/>
    <w:multiLevelType w:val="hybridMultilevel"/>
    <w:tmpl w:val="D6D6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F2F46"/>
    <w:multiLevelType w:val="hybridMultilevel"/>
    <w:tmpl w:val="8264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E1551"/>
    <w:multiLevelType w:val="hybridMultilevel"/>
    <w:tmpl w:val="0BBCACC6"/>
    <w:lvl w:ilvl="0" w:tplc="F12CB6DE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31151"/>
    <w:multiLevelType w:val="hybridMultilevel"/>
    <w:tmpl w:val="17B0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B31CB"/>
    <w:multiLevelType w:val="hybridMultilevel"/>
    <w:tmpl w:val="8160A7F2"/>
    <w:lvl w:ilvl="0" w:tplc="E200ADE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33F3C"/>
    <w:multiLevelType w:val="hybridMultilevel"/>
    <w:tmpl w:val="AEA6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E3B7B"/>
    <w:multiLevelType w:val="hybridMultilevel"/>
    <w:tmpl w:val="5B40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C17E6"/>
    <w:multiLevelType w:val="hybridMultilevel"/>
    <w:tmpl w:val="31FE6A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F3059"/>
    <w:multiLevelType w:val="hybridMultilevel"/>
    <w:tmpl w:val="E6F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1870"/>
    <w:multiLevelType w:val="hybridMultilevel"/>
    <w:tmpl w:val="6FA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E28C1"/>
    <w:multiLevelType w:val="multilevel"/>
    <w:tmpl w:val="76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A5299"/>
    <w:multiLevelType w:val="hybridMultilevel"/>
    <w:tmpl w:val="EB3A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E4D65"/>
    <w:multiLevelType w:val="hybridMultilevel"/>
    <w:tmpl w:val="228482FE"/>
    <w:lvl w:ilvl="0" w:tplc="726E502C">
      <w:start w:val="1"/>
      <w:numFmt w:val="bullet"/>
      <w:lvlText w:val="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83291"/>
    <w:multiLevelType w:val="hybridMultilevel"/>
    <w:tmpl w:val="C03C4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A4FEA"/>
    <w:multiLevelType w:val="hybridMultilevel"/>
    <w:tmpl w:val="9AD09714"/>
    <w:lvl w:ilvl="0" w:tplc="3C40CE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C612E"/>
    <w:multiLevelType w:val="hybridMultilevel"/>
    <w:tmpl w:val="D4B8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F7AC3"/>
    <w:multiLevelType w:val="hybridMultilevel"/>
    <w:tmpl w:val="E9FC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0122D"/>
    <w:multiLevelType w:val="hybridMultilevel"/>
    <w:tmpl w:val="B3160A50"/>
    <w:lvl w:ilvl="0" w:tplc="BF1AC3D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86BC0"/>
    <w:multiLevelType w:val="hybridMultilevel"/>
    <w:tmpl w:val="F29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F6321"/>
    <w:multiLevelType w:val="hybridMultilevel"/>
    <w:tmpl w:val="523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E3174"/>
    <w:multiLevelType w:val="hybridMultilevel"/>
    <w:tmpl w:val="CEB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016F7"/>
    <w:multiLevelType w:val="hybridMultilevel"/>
    <w:tmpl w:val="774E49EC"/>
    <w:lvl w:ilvl="0" w:tplc="2638A488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B16B4"/>
    <w:multiLevelType w:val="hybridMultilevel"/>
    <w:tmpl w:val="F7A290FE"/>
    <w:lvl w:ilvl="0" w:tplc="4E16F942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412CC"/>
    <w:multiLevelType w:val="hybridMultilevel"/>
    <w:tmpl w:val="F5903A22"/>
    <w:lvl w:ilvl="0" w:tplc="D8EC4C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387BBD"/>
    <w:multiLevelType w:val="hybridMultilevel"/>
    <w:tmpl w:val="CAC0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968648">
    <w:abstractNumId w:val="21"/>
  </w:num>
  <w:num w:numId="2" w16cid:durableId="1498612079">
    <w:abstractNumId w:val="12"/>
  </w:num>
  <w:num w:numId="3" w16cid:durableId="952516139">
    <w:abstractNumId w:val="5"/>
  </w:num>
  <w:num w:numId="4" w16cid:durableId="1192918518">
    <w:abstractNumId w:val="7"/>
  </w:num>
  <w:num w:numId="5" w16cid:durableId="1278102042">
    <w:abstractNumId w:val="20"/>
  </w:num>
  <w:num w:numId="6" w16cid:durableId="966590759">
    <w:abstractNumId w:val="29"/>
  </w:num>
  <w:num w:numId="7" w16cid:durableId="1082986613">
    <w:abstractNumId w:val="2"/>
  </w:num>
  <w:num w:numId="8" w16cid:durableId="887184965">
    <w:abstractNumId w:val="14"/>
  </w:num>
  <w:num w:numId="9" w16cid:durableId="1068575902">
    <w:abstractNumId w:val="22"/>
  </w:num>
  <w:num w:numId="10" w16cid:durableId="427506444">
    <w:abstractNumId w:val="25"/>
  </w:num>
  <w:num w:numId="11" w16cid:durableId="1483815474">
    <w:abstractNumId w:val="11"/>
  </w:num>
  <w:num w:numId="12" w16cid:durableId="1660227944">
    <w:abstractNumId w:val="24"/>
  </w:num>
  <w:num w:numId="13" w16cid:durableId="1367295570">
    <w:abstractNumId w:val="8"/>
  </w:num>
  <w:num w:numId="14" w16cid:durableId="1864396286">
    <w:abstractNumId w:val="10"/>
  </w:num>
  <w:num w:numId="15" w16cid:durableId="1918663507">
    <w:abstractNumId w:val="6"/>
  </w:num>
  <w:num w:numId="16" w16cid:durableId="513346799">
    <w:abstractNumId w:val="30"/>
  </w:num>
  <w:num w:numId="17" w16cid:durableId="1390763663">
    <w:abstractNumId w:val="26"/>
  </w:num>
  <w:num w:numId="18" w16cid:durableId="540636462">
    <w:abstractNumId w:val="28"/>
  </w:num>
  <w:num w:numId="19" w16cid:durableId="95251696">
    <w:abstractNumId w:val="27"/>
  </w:num>
  <w:num w:numId="20" w16cid:durableId="303242134">
    <w:abstractNumId w:val="0"/>
  </w:num>
  <w:num w:numId="21" w16cid:durableId="521165200">
    <w:abstractNumId w:val="15"/>
  </w:num>
  <w:num w:numId="22" w16cid:durableId="1627084374">
    <w:abstractNumId w:val="23"/>
  </w:num>
  <w:num w:numId="23" w16cid:durableId="1852449001">
    <w:abstractNumId w:val="18"/>
  </w:num>
  <w:num w:numId="24" w16cid:durableId="99837124">
    <w:abstractNumId w:val="4"/>
  </w:num>
  <w:num w:numId="25" w16cid:durableId="68504594">
    <w:abstractNumId w:val="9"/>
  </w:num>
  <w:num w:numId="26" w16cid:durableId="1828129145">
    <w:abstractNumId w:val="13"/>
  </w:num>
  <w:num w:numId="27" w16cid:durableId="576480852">
    <w:abstractNumId w:val="19"/>
  </w:num>
  <w:num w:numId="28" w16cid:durableId="1890144613">
    <w:abstractNumId w:val="1"/>
  </w:num>
  <w:num w:numId="29" w16cid:durableId="966933400">
    <w:abstractNumId w:val="3"/>
  </w:num>
  <w:num w:numId="30" w16cid:durableId="1082682804">
    <w:abstractNumId w:val="17"/>
  </w:num>
  <w:num w:numId="31" w16cid:durableId="752431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C"/>
    <w:rsid w:val="00001DEA"/>
    <w:rsid w:val="000034A6"/>
    <w:rsid w:val="00003C8D"/>
    <w:rsid w:val="00005C60"/>
    <w:rsid w:val="00022E28"/>
    <w:rsid w:val="0004778F"/>
    <w:rsid w:val="00071B5A"/>
    <w:rsid w:val="0009505C"/>
    <w:rsid w:val="00095A28"/>
    <w:rsid w:val="000A569D"/>
    <w:rsid w:val="000D2A94"/>
    <w:rsid w:val="000E28A6"/>
    <w:rsid w:val="00101259"/>
    <w:rsid w:val="00114351"/>
    <w:rsid w:val="00134163"/>
    <w:rsid w:val="001348A5"/>
    <w:rsid w:val="001420D4"/>
    <w:rsid w:val="00162F52"/>
    <w:rsid w:val="001670A0"/>
    <w:rsid w:val="001738FC"/>
    <w:rsid w:val="00182E43"/>
    <w:rsid w:val="001A2D1B"/>
    <w:rsid w:val="001B6BCE"/>
    <w:rsid w:val="001D75D8"/>
    <w:rsid w:val="001E3389"/>
    <w:rsid w:val="001F37AD"/>
    <w:rsid w:val="001F5F60"/>
    <w:rsid w:val="00202827"/>
    <w:rsid w:val="002076ED"/>
    <w:rsid w:val="00217013"/>
    <w:rsid w:val="002177DD"/>
    <w:rsid w:val="00227B5D"/>
    <w:rsid w:val="002339E8"/>
    <w:rsid w:val="002362BA"/>
    <w:rsid w:val="0025646C"/>
    <w:rsid w:val="002564D0"/>
    <w:rsid w:val="00261CCB"/>
    <w:rsid w:val="002627C7"/>
    <w:rsid w:val="00263159"/>
    <w:rsid w:val="0026333F"/>
    <w:rsid w:val="00267129"/>
    <w:rsid w:val="00274F93"/>
    <w:rsid w:val="00282A04"/>
    <w:rsid w:val="00287E67"/>
    <w:rsid w:val="00293FC4"/>
    <w:rsid w:val="00296663"/>
    <w:rsid w:val="002A1D77"/>
    <w:rsid w:val="002A33EA"/>
    <w:rsid w:val="002B2900"/>
    <w:rsid w:val="002C1465"/>
    <w:rsid w:val="002C4BF1"/>
    <w:rsid w:val="002D2E8C"/>
    <w:rsid w:val="002E5238"/>
    <w:rsid w:val="002E5905"/>
    <w:rsid w:val="00313720"/>
    <w:rsid w:val="003229E9"/>
    <w:rsid w:val="003249A7"/>
    <w:rsid w:val="0034010C"/>
    <w:rsid w:val="00342051"/>
    <w:rsid w:val="0034615A"/>
    <w:rsid w:val="0035510A"/>
    <w:rsid w:val="003556B2"/>
    <w:rsid w:val="003625E9"/>
    <w:rsid w:val="00364815"/>
    <w:rsid w:val="00366C51"/>
    <w:rsid w:val="003720AA"/>
    <w:rsid w:val="00391022"/>
    <w:rsid w:val="003951DC"/>
    <w:rsid w:val="003A7C4B"/>
    <w:rsid w:val="003E1C9E"/>
    <w:rsid w:val="004018C4"/>
    <w:rsid w:val="0041072E"/>
    <w:rsid w:val="004130CC"/>
    <w:rsid w:val="00413564"/>
    <w:rsid w:val="00416C1F"/>
    <w:rsid w:val="004235CC"/>
    <w:rsid w:val="004304DC"/>
    <w:rsid w:val="0043251E"/>
    <w:rsid w:val="0044785A"/>
    <w:rsid w:val="00447D22"/>
    <w:rsid w:val="0047017F"/>
    <w:rsid w:val="00472473"/>
    <w:rsid w:val="004B68CA"/>
    <w:rsid w:val="004C16D9"/>
    <w:rsid w:val="004D01FD"/>
    <w:rsid w:val="004D72A9"/>
    <w:rsid w:val="004E61E0"/>
    <w:rsid w:val="004F4912"/>
    <w:rsid w:val="004F7685"/>
    <w:rsid w:val="005054EF"/>
    <w:rsid w:val="00507E5E"/>
    <w:rsid w:val="00511BC1"/>
    <w:rsid w:val="00512036"/>
    <w:rsid w:val="00514DD3"/>
    <w:rsid w:val="00521698"/>
    <w:rsid w:val="00527930"/>
    <w:rsid w:val="005426FC"/>
    <w:rsid w:val="00547457"/>
    <w:rsid w:val="0055625C"/>
    <w:rsid w:val="00557FED"/>
    <w:rsid w:val="005610CB"/>
    <w:rsid w:val="00565162"/>
    <w:rsid w:val="0057156D"/>
    <w:rsid w:val="005743F0"/>
    <w:rsid w:val="005756E9"/>
    <w:rsid w:val="005933D7"/>
    <w:rsid w:val="00597A6E"/>
    <w:rsid w:val="005A6802"/>
    <w:rsid w:val="005C4778"/>
    <w:rsid w:val="005D1870"/>
    <w:rsid w:val="005D3E8B"/>
    <w:rsid w:val="005E1683"/>
    <w:rsid w:val="005F02B8"/>
    <w:rsid w:val="005F64D1"/>
    <w:rsid w:val="00607705"/>
    <w:rsid w:val="006209FC"/>
    <w:rsid w:val="00627E2D"/>
    <w:rsid w:val="00643D6B"/>
    <w:rsid w:val="00653121"/>
    <w:rsid w:val="00653C12"/>
    <w:rsid w:val="00674842"/>
    <w:rsid w:val="00685FBE"/>
    <w:rsid w:val="00694CF3"/>
    <w:rsid w:val="006A74F0"/>
    <w:rsid w:val="006B3F3B"/>
    <w:rsid w:val="006C6DA1"/>
    <w:rsid w:val="006E41FE"/>
    <w:rsid w:val="00701C9D"/>
    <w:rsid w:val="00702E47"/>
    <w:rsid w:val="007044C7"/>
    <w:rsid w:val="00711307"/>
    <w:rsid w:val="00715353"/>
    <w:rsid w:val="00723A02"/>
    <w:rsid w:val="00733916"/>
    <w:rsid w:val="007478F4"/>
    <w:rsid w:val="007647FA"/>
    <w:rsid w:val="007669E5"/>
    <w:rsid w:val="007772A5"/>
    <w:rsid w:val="0078703C"/>
    <w:rsid w:val="007C326C"/>
    <w:rsid w:val="007C607A"/>
    <w:rsid w:val="007D7C53"/>
    <w:rsid w:val="007F425C"/>
    <w:rsid w:val="00802D23"/>
    <w:rsid w:val="00823305"/>
    <w:rsid w:val="00825F32"/>
    <w:rsid w:val="008263CF"/>
    <w:rsid w:val="008350FC"/>
    <w:rsid w:val="00841C1D"/>
    <w:rsid w:val="00841D49"/>
    <w:rsid w:val="00843067"/>
    <w:rsid w:val="00846F27"/>
    <w:rsid w:val="008507DB"/>
    <w:rsid w:val="008567BE"/>
    <w:rsid w:val="0087214B"/>
    <w:rsid w:val="0087687F"/>
    <w:rsid w:val="008862B7"/>
    <w:rsid w:val="00890073"/>
    <w:rsid w:val="008903C2"/>
    <w:rsid w:val="00892F6F"/>
    <w:rsid w:val="008940F9"/>
    <w:rsid w:val="008A4682"/>
    <w:rsid w:val="008A6DAC"/>
    <w:rsid w:val="008B7129"/>
    <w:rsid w:val="008C046A"/>
    <w:rsid w:val="008C1AF3"/>
    <w:rsid w:val="008C2551"/>
    <w:rsid w:val="008C2F64"/>
    <w:rsid w:val="008C5495"/>
    <w:rsid w:val="008C59A4"/>
    <w:rsid w:val="008D3545"/>
    <w:rsid w:val="008E1BB1"/>
    <w:rsid w:val="009125BC"/>
    <w:rsid w:val="00946360"/>
    <w:rsid w:val="00957E25"/>
    <w:rsid w:val="00962E94"/>
    <w:rsid w:val="009809D4"/>
    <w:rsid w:val="009842C6"/>
    <w:rsid w:val="00993061"/>
    <w:rsid w:val="00993BA5"/>
    <w:rsid w:val="0099524D"/>
    <w:rsid w:val="00996549"/>
    <w:rsid w:val="009A0F71"/>
    <w:rsid w:val="009C0061"/>
    <w:rsid w:val="009C37CA"/>
    <w:rsid w:val="009C6E18"/>
    <w:rsid w:val="009D7F01"/>
    <w:rsid w:val="009E236B"/>
    <w:rsid w:val="009E750D"/>
    <w:rsid w:val="009F029B"/>
    <w:rsid w:val="009F350E"/>
    <w:rsid w:val="009F539A"/>
    <w:rsid w:val="00A125CA"/>
    <w:rsid w:val="00A12917"/>
    <w:rsid w:val="00A363AC"/>
    <w:rsid w:val="00A415CB"/>
    <w:rsid w:val="00A46FDF"/>
    <w:rsid w:val="00A541A3"/>
    <w:rsid w:val="00A546A5"/>
    <w:rsid w:val="00A57BA2"/>
    <w:rsid w:val="00A6032D"/>
    <w:rsid w:val="00A70B28"/>
    <w:rsid w:val="00A73B81"/>
    <w:rsid w:val="00A75875"/>
    <w:rsid w:val="00A7589F"/>
    <w:rsid w:val="00A94866"/>
    <w:rsid w:val="00AA4217"/>
    <w:rsid w:val="00AC786C"/>
    <w:rsid w:val="00AE565A"/>
    <w:rsid w:val="00B16052"/>
    <w:rsid w:val="00B236F7"/>
    <w:rsid w:val="00B34C9C"/>
    <w:rsid w:val="00B34DA4"/>
    <w:rsid w:val="00B41D5A"/>
    <w:rsid w:val="00B47333"/>
    <w:rsid w:val="00B50A81"/>
    <w:rsid w:val="00B5287C"/>
    <w:rsid w:val="00B84478"/>
    <w:rsid w:val="00B94782"/>
    <w:rsid w:val="00BA61C2"/>
    <w:rsid w:val="00BA6FDE"/>
    <w:rsid w:val="00BB335E"/>
    <w:rsid w:val="00BB53B3"/>
    <w:rsid w:val="00BC2702"/>
    <w:rsid w:val="00C15B0C"/>
    <w:rsid w:val="00C174B5"/>
    <w:rsid w:val="00C30A66"/>
    <w:rsid w:val="00C318B0"/>
    <w:rsid w:val="00C34AFA"/>
    <w:rsid w:val="00C374CB"/>
    <w:rsid w:val="00C450D8"/>
    <w:rsid w:val="00C5505E"/>
    <w:rsid w:val="00C57698"/>
    <w:rsid w:val="00C61152"/>
    <w:rsid w:val="00C74D62"/>
    <w:rsid w:val="00C76D18"/>
    <w:rsid w:val="00C83C42"/>
    <w:rsid w:val="00C86164"/>
    <w:rsid w:val="00C86CC5"/>
    <w:rsid w:val="00C94A27"/>
    <w:rsid w:val="00CC3419"/>
    <w:rsid w:val="00CC61B9"/>
    <w:rsid w:val="00CC6355"/>
    <w:rsid w:val="00CC6C6B"/>
    <w:rsid w:val="00CD0453"/>
    <w:rsid w:val="00CD18AB"/>
    <w:rsid w:val="00CE08EB"/>
    <w:rsid w:val="00D162B0"/>
    <w:rsid w:val="00D1674F"/>
    <w:rsid w:val="00D23906"/>
    <w:rsid w:val="00D458A8"/>
    <w:rsid w:val="00D50891"/>
    <w:rsid w:val="00D519BF"/>
    <w:rsid w:val="00D570F8"/>
    <w:rsid w:val="00D72B63"/>
    <w:rsid w:val="00D7484C"/>
    <w:rsid w:val="00DB4CD1"/>
    <w:rsid w:val="00DB4D1A"/>
    <w:rsid w:val="00DC0A6B"/>
    <w:rsid w:val="00DD057C"/>
    <w:rsid w:val="00DE446F"/>
    <w:rsid w:val="00DF6D32"/>
    <w:rsid w:val="00DF6ED7"/>
    <w:rsid w:val="00E001E4"/>
    <w:rsid w:val="00E016DD"/>
    <w:rsid w:val="00E148F4"/>
    <w:rsid w:val="00E1616A"/>
    <w:rsid w:val="00E35BEE"/>
    <w:rsid w:val="00E47C19"/>
    <w:rsid w:val="00E524EB"/>
    <w:rsid w:val="00E547BA"/>
    <w:rsid w:val="00E571C0"/>
    <w:rsid w:val="00E73B12"/>
    <w:rsid w:val="00E832AB"/>
    <w:rsid w:val="00E8708F"/>
    <w:rsid w:val="00E9781C"/>
    <w:rsid w:val="00EA070C"/>
    <w:rsid w:val="00EB14A9"/>
    <w:rsid w:val="00EB2DCC"/>
    <w:rsid w:val="00EC5E37"/>
    <w:rsid w:val="00EE3E30"/>
    <w:rsid w:val="00EF367C"/>
    <w:rsid w:val="00F023A0"/>
    <w:rsid w:val="00F028DE"/>
    <w:rsid w:val="00F04CEA"/>
    <w:rsid w:val="00F139D8"/>
    <w:rsid w:val="00F14653"/>
    <w:rsid w:val="00F1769B"/>
    <w:rsid w:val="00F3451D"/>
    <w:rsid w:val="00F37230"/>
    <w:rsid w:val="00F43F4E"/>
    <w:rsid w:val="00F5149D"/>
    <w:rsid w:val="00F62888"/>
    <w:rsid w:val="00F67EBF"/>
    <w:rsid w:val="00F81955"/>
    <w:rsid w:val="00F86779"/>
    <w:rsid w:val="00F91DBF"/>
    <w:rsid w:val="00FA6170"/>
    <w:rsid w:val="00FB1C9E"/>
    <w:rsid w:val="00FB510E"/>
    <w:rsid w:val="00FB5A43"/>
    <w:rsid w:val="00FB6620"/>
    <w:rsid w:val="00FD4360"/>
    <w:rsid w:val="00FE3141"/>
    <w:rsid w:val="00FF1775"/>
    <w:rsid w:val="00FF3B8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5D"/>
  <w15:chartTrackingRefBased/>
  <w15:docId w15:val="{50DF56F4-AD0D-4231-84CF-BA459E5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8F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64D0"/>
    <w:pPr>
      <w:keepNext/>
      <w:keepLines/>
      <w:shd w:val="clear" w:color="auto" w:fill="2E74B5" w:themeFill="accent5" w:themeFillShade="BF"/>
      <w:spacing w:before="240"/>
      <w:outlineLvl w:val="0"/>
    </w:pPr>
    <w:rPr>
      <w:rFonts w:eastAsiaTheme="majorEastAsia"/>
      <w:b/>
      <w:bCs/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D0"/>
    <w:rPr>
      <w:rFonts w:ascii="TH Sarabun New" w:eastAsiaTheme="majorEastAsia" w:hAnsi="TH Sarabun New" w:cs="TH Sarabun New"/>
      <w:b/>
      <w:bCs/>
      <w:color w:val="FFFFFF" w:themeColor="background1"/>
      <w:sz w:val="32"/>
      <w:szCs w:val="32"/>
      <w:shd w:val="clear" w:color="auto" w:fill="2E74B5" w:themeFill="accent5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E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67C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367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F367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F367C"/>
    <w:rPr>
      <w:b/>
      <w:bCs/>
    </w:rPr>
  </w:style>
  <w:style w:type="character" w:styleId="Emphasis">
    <w:name w:val="Emphasis"/>
    <w:basedOn w:val="DefaultParagraphFont"/>
    <w:uiPriority w:val="20"/>
    <w:qFormat/>
    <w:rsid w:val="00EF367C"/>
    <w:rPr>
      <w:i/>
      <w:iCs/>
    </w:rPr>
  </w:style>
  <w:style w:type="paragraph" w:styleId="NoSpacing">
    <w:name w:val="No Spacing"/>
    <w:uiPriority w:val="1"/>
    <w:qFormat/>
    <w:rsid w:val="00EF36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67C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367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F367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6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6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F367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F367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6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4F93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4F93"/>
    <w:rPr>
      <w:szCs w:val="28"/>
    </w:rPr>
  </w:style>
  <w:style w:type="table" w:styleId="TableGrid">
    <w:name w:val="Table Grid"/>
    <w:basedOn w:val="TableNormal"/>
    <w:uiPriority w:val="59"/>
    <w:rsid w:val="00FB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E750D"/>
    <w:rPr>
      <w:rFonts w:ascii="TH SarabunPSK" w:hAnsi="TH SarabunPSK" w:cs="TH SarabunPSK" w:hint="default"/>
      <w:b/>
      <w:bCs/>
      <w:i w:val="0"/>
      <w:iCs w:val="0"/>
      <w:color w:val="FFFFF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E750D"/>
    <w:rPr>
      <w:color w:val="808080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66C51"/>
  </w:style>
  <w:style w:type="character" w:styleId="Hyperlink">
    <w:name w:val="Hyperlink"/>
    <w:basedOn w:val="DefaultParagraphFont"/>
    <w:uiPriority w:val="99"/>
    <w:unhideWhenUsed/>
    <w:rsid w:val="00095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6ED"/>
    <w:rPr>
      <w:color w:val="954F72" w:themeColor="followedHyperlink"/>
      <w:u w:val="single"/>
    </w:rPr>
  </w:style>
  <w:style w:type="paragraph" w:customStyle="1" w:styleId="Code">
    <w:name w:val="Code"/>
    <w:basedOn w:val="Normal"/>
    <w:autoRedefine/>
    <w:qFormat/>
    <w:rsid w:val="007339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20"/>
      <w:szCs w:val="20"/>
    </w:rPr>
  </w:style>
  <w:style w:type="paragraph" w:customStyle="1" w:styleId="ProblemHeading">
    <w:name w:val="Problem Heading"/>
    <w:basedOn w:val="Normal"/>
    <w:autoRedefine/>
    <w:qFormat/>
    <w:rsid w:val="001420D4"/>
    <w:rPr>
      <w:b/>
      <w:bCs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9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677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pima-indians-diabetes-databas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32461-FAA6-C84C-A553-90A68E68C42F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805D-D124-48E1-AD22-76BE231C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ธีรภัทร แก่งศิลาลัย</cp:lastModifiedBy>
  <cp:revision>7</cp:revision>
  <cp:lastPrinted>2023-11-13T08:31:00Z</cp:lastPrinted>
  <dcterms:created xsi:type="dcterms:W3CDTF">2025-12-15T03:16:00Z</dcterms:created>
  <dcterms:modified xsi:type="dcterms:W3CDTF">2025-12-15T10:01:00Z</dcterms:modified>
</cp:coreProperties>
</file>