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1.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Select all the topics that have a cluster in the model created above.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Baseball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Basketball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Soccer/football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Music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Politics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Law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Try fitting EM with the random initial parameters you created above. What is the final loglikelihood that the algorithm converges to? Choose the range that contains this value.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Less than 2.2e9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Between 2.2e9 and 2.3e9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Between 2.3e9 and 2.4e9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Between 2.4e9 and 2.5e9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Greater than 2.5e9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3.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Is the final loglikelihood larger or smaller than the final loglikelihood we obtained above when initializing EM with the results from running k-means?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Initializing EM with k-means led to a larger final loglikelihood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Initializing EM with k-means led to a smaller final loglikelihood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the above model, `out_random_init`, use the `visualize_EM_clusters` method you created above. Are the clusters more or less interpretable than the ones found after initializing using k-means?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More interpretable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Less interpretable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