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1.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According to the assumptions of LDA, each document in the corpus contains words about a single topic.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Using LDA to analyze a set of documents is an example of a supervised learning task.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3.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When training an LDA model, changing the ordering of words in a document does not affect the overall joint probability.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Suppose in a trained LDA model two documents have no topics in common (i.e., one document has 0 weight on any topic with non-zero weight in the other document). As a result, a single word in the vocabulary cannot have high probability of occurring in both documents.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5.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(True/False) Topic models are guaranteed to produce weights on words that are coherent and easily interpretable by humans.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