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470C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Semantic Data Normal Forms: Extending Normalization Theory to Vector Embedding Spaces</w:t>
      </w:r>
    </w:p>
    <w:p w14:paraId="61FB64FC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Authors Omitted for Review</w:t>
      </w:r>
    </w:p>
    <w:p w14:paraId="045DF849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i/>
          <w:iCs/>
          <w:sz w:val="20"/>
          <w:szCs w:val="20"/>
        </w:rPr>
        <w:t>Abstract—</w:t>
      </w:r>
      <w:r w:rsidRPr="00B66852">
        <w:rPr>
          <w:rFonts w:ascii="Times New Roman" w:hAnsi="Times New Roman" w:cs="Times New Roman"/>
          <w:sz w:val="20"/>
          <w:szCs w:val="20"/>
        </w:rPr>
        <w:t xml:space="preserve"> AI-native data systems increasingly encode schema meaning using vector embeddings, introducing integrity challenges beyond classical normalization: stochastic instability, semantic drift, &amp; context mixing. We present Semantic Data Normal Forms (SDNF), extending normalization theory into semantic space. We formalize a Semantic Relational Schema (SRS) model incorporating embeddings, contexts, &amp; lineage, and define seven semantic normal forms (EENF, AANF, CMNF, DBNF, ECNF, RRNF, PONF) enforcing stability, alias detection, context isolation, drift bounds, evidence requirements, role consistency, &amp; partition orthogonality. We prove SRS completeness under SDNF constraints via metric space analysis [5], [6], establishing fixed-point convergence [9] &amp; bi-Lipschitz embedding properties [10]. Experiments on financial payloads demonstrate 35–40% schema consolidation, &gt;90% precision in automated merges, &amp; near-zero drift &amp; context leakage. SDNF enables auditable, self-evolving schemas for AI-native databases.</w:t>
      </w:r>
    </w:p>
    <w:p w14:paraId="240AA8BE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i/>
          <w:iCs/>
          <w:sz w:val="20"/>
          <w:szCs w:val="20"/>
        </w:rPr>
        <w:t>Keywords—</w:t>
      </w:r>
      <w:r w:rsidRPr="00B66852">
        <w:rPr>
          <w:rFonts w:ascii="Times New Roman" w:hAnsi="Times New Roman" w:cs="Times New Roman"/>
          <w:sz w:val="20"/>
          <w:szCs w:val="20"/>
        </w:rPr>
        <w:t xml:space="preserve"> Semantic normalization, vector databases, schema evolution, embedding governance, context isolation, drift detection, metric spaces</w:t>
      </w:r>
    </w:p>
    <w:p w14:paraId="47F8388C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I. Introduction</w:t>
      </w:r>
    </w:p>
    <w:p w14:paraId="189E1D31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A. Motivation: Semantic Anomalies in AI-Native Systems</w:t>
      </w:r>
    </w:p>
    <w:p w14:paraId="04D29B79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Modern data schemas function as semantic interfaces between AI models, services, &amp; databases. Unlike classical systems where meaning is encoded symbolically, AI-native databases use vector embeddings for schema elements, determining similarity through high-dimensional proximity [3], [4]. This paradigm shift introduces three critical failure modes:</w:t>
      </w:r>
    </w:p>
    <w:p w14:paraId="1EA32D0D" w14:textId="77777777" w:rsidR="00B66852" w:rsidRPr="00B66852" w:rsidRDefault="00B66852" w:rsidP="00B66852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Stochastic Instability: Repeated embedding of the same concept yields non-identical vectors due to model nondeterminism.</w:t>
      </w:r>
    </w:p>
    <w:p w14:paraId="7504191F" w14:textId="77777777" w:rsidR="00B66852" w:rsidRPr="00B66852" w:rsidRDefault="00B66852" w:rsidP="00B66852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Semantic Drift: Model updates or data evolution shift concept representations (e.g., “Gateway” in 2024 vs. 2025) [8].</w:t>
      </w:r>
    </w:p>
    <w:p w14:paraId="3944AC74" w14:textId="77777777" w:rsidR="00B66852" w:rsidRPr="00B66852" w:rsidRDefault="00B66852" w:rsidP="00B66852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Context Mixing: Distinct domains overlap in embedding space (e.g., “card” as credit card vs. playing card).</w:t>
      </w:r>
    </w:p>
    <w:p w14:paraId="1A98B117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These anomalies violate no structural constraints—a database in 3NF [1], [2] can still exhibit semantic corruption.</w:t>
      </w:r>
    </w:p>
    <w:p w14:paraId="6ECE75C0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B. SDNF: Normalization for Semantic Space</w:t>
      </w:r>
    </w:p>
    <w:p w14:paraId="01884203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Semantic Data Normal Forms (SDNF) extend classical normalization [1], [2] by constraining how meanings are represented &amp; evolved. SDNF enables systems to start with loosely defined payload-derived schemas &amp; progressively refine them into stable, canonical representations while maintaining auditability.</w:t>
      </w:r>
    </w:p>
    <w:p w14:paraId="635918EC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C. Contributions</w:t>
      </w:r>
    </w:p>
    <w:p w14:paraId="6C1DF98A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Our key contributions include:</w:t>
      </w:r>
    </w:p>
    <w:p w14:paraId="54FB0656" w14:textId="77777777" w:rsidR="00B66852" w:rsidRPr="00B66852" w:rsidRDefault="00B66852" w:rsidP="00B66852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A formal Semantic Relational Schema (SRS) model—tuple (E, A, R, Emb, C, L)—incorporating multi-level embeddings [7], context projection operators [7], &amp;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lineage;</w:t>
      </w:r>
      <w:proofErr w:type="gramEnd"/>
    </w:p>
    <w:p w14:paraId="3D2EFDF7" w14:textId="77777777" w:rsidR="00B66852" w:rsidRPr="00B66852" w:rsidRDefault="00B66852" w:rsidP="00B66852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The definition of seven Semantic Normal Forms (EENF, AANF, CMNF, DBNF, ECNF, RRNF, PONF) which enforce stability, alias detection, context isolation, drift bounding, evidence requirements, role consistency, &amp; partition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orthogonality;</w:t>
      </w:r>
      <w:proofErr w:type="gramEnd"/>
    </w:p>
    <w:p w14:paraId="4ED1B5B6" w14:textId="77777777" w:rsidR="00B66852" w:rsidRPr="00B66852" w:rsidRDefault="00B66852" w:rsidP="00B66852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Theoretical analysis showing that an SRS under SDNF (under stated assumptions) forms a complete metric space [5], [6] with a convergent fixed-point schema (Banach’s theorem) [9] &amp; a bi-Lipschitz embedding property [10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5E34DDCF" w14:textId="77777777" w:rsidR="00B66852" w:rsidRPr="00B66852" w:rsidRDefault="00B66852" w:rsidP="00B66852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lastRenderedPageBreak/>
        <w:t xml:space="preserve">A governance pipeline implementation with evidence aggregation &amp; semantic ledger for auditable schema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evolution;</w:t>
      </w:r>
      <w:proofErr w:type="gramEnd"/>
    </w:p>
    <w:p w14:paraId="2D2E2E1C" w14:textId="77777777" w:rsidR="00B66852" w:rsidRPr="00B66852" w:rsidRDefault="00B66852" w:rsidP="00B66852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An experimental evaluation demonstrating ~40% schema consolidation, &gt;90% merge precision, &amp; near-zero semantic anomalies on a real-world dataset.</w:t>
      </w:r>
    </w:p>
    <w:p w14:paraId="5FABAED4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II. Semantic Relational Schema (SRS) Model</w:t>
      </w:r>
    </w:p>
    <w:p w14:paraId="585EDFDE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A. Formal Definition</w:t>
      </w:r>
    </w:p>
    <w:p w14:paraId="4ABF3438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An SRS is a tuple SRS = (E, A, R, Emb, C, L) where:</w:t>
      </w:r>
    </w:p>
    <w:p w14:paraId="244329C1" w14:textId="77777777" w:rsidR="00B66852" w:rsidRPr="00B66852" w:rsidRDefault="00B66852" w:rsidP="00B66852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E: Set of entities (canonical concepts, e.g.,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PaymentCard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)</w:t>
      </w:r>
    </w:p>
    <w:p w14:paraId="3FA589AF" w14:textId="77777777" w:rsidR="00B66852" w:rsidRPr="00B66852" w:rsidRDefault="00B66852" w:rsidP="00B66852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A: Set of attributes with metadata (type, regex, provenance, aliases)</w:t>
      </w:r>
    </w:p>
    <w:p w14:paraId="4C9FDDBC" w14:textId="77777777" w:rsidR="00B66852" w:rsidRPr="00B66852" w:rsidRDefault="00B66852" w:rsidP="00B66852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R: Set of semantic relations (source, target, confidence, role)</w:t>
      </w:r>
    </w:p>
    <w:p w14:paraId="2C0A4300" w14:textId="77777777" w:rsidR="00B66852" w:rsidRPr="00B66852" w:rsidRDefault="00B66852" w:rsidP="00B66852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B66852">
        <w:rPr>
          <w:rFonts w:ascii="Times New Roman" w:hAnsi="Times New Roman" w:cs="Times New Roman"/>
          <w:sz w:val="20"/>
          <w:szCs w:val="20"/>
        </w:rPr>
        <w:t>Emb(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p, c): P × C →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ℝ^d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: Embedding function mapping primitive p under context c to a d-dimensional vector</w:t>
      </w:r>
    </w:p>
    <w:p w14:paraId="20B91857" w14:textId="77777777" w:rsidR="00B66852" w:rsidRPr="00B66852" w:rsidRDefault="00B66852" w:rsidP="00B66852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C: Set of semantic contexts (e.g., Payments, Risk)</w:t>
      </w:r>
    </w:p>
    <w:p w14:paraId="77E78410" w14:textId="77777777" w:rsidR="00B66852" w:rsidRPr="00B66852" w:rsidRDefault="00B66852" w:rsidP="00B66852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L: Append-only lineage log (all evolution events with evidence)</w:t>
      </w:r>
    </w:p>
    <w:p w14:paraId="07C25E70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B. Multi-Level Embedding Representation</w:t>
      </w:r>
    </w:p>
    <w:p w14:paraId="46ADB5A5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For a primitive p in context c [7]:</w:t>
      </w:r>
    </w:p>
    <w:p w14:paraId="111E554F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66852">
        <w:rPr>
          <w:rFonts w:ascii="Times New Roman" w:hAnsi="Times New Roman" w:cs="Times New Roman"/>
          <w:sz w:val="20"/>
          <w:szCs w:val="20"/>
        </w:rPr>
        <w:t>Emb(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>p, c) = [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Emb_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fine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p, c) </w:t>
      </w:r>
      <w:r w:rsidRPr="00B66852">
        <w:rPr>
          <w:rFonts w:ascii="Cambria Math" w:hAnsi="Cambria Math" w:cs="Cambria Math"/>
          <w:sz w:val="20"/>
          <w:szCs w:val="20"/>
        </w:rPr>
        <w:t>∥</w:t>
      </w:r>
      <w:r w:rsidRPr="00B668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Emb_abstract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(p) </w:t>
      </w:r>
      <w:r w:rsidRPr="00B66852">
        <w:rPr>
          <w:rFonts w:ascii="Cambria Math" w:hAnsi="Cambria Math" w:cs="Cambria Math"/>
          <w:sz w:val="20"/>
          <w:szCs w:val="20"/>
        </w:rPr>
        <w:t>∥</w:t>
      </w:r>
      <w:r w:rsidRPr="00B668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Emb_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contextual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>p, c)]</w:t>
      </w:r>
    </w:p>
    <w:p w14:paraId="53BB6D6C" w14:textId="77777777" w:rsidR="00B66852" w:rsidRPr="00B66852" w:rsidRDefault="00B66852" w:rsidP="00B66852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Fine-grained: Lexical semantics (e.g., “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cvv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” vs. “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cid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”)</w:t>
      </w:r>
    </w:p>
    <w:p w14:paraId="5861AB23" w14:textId="77777777" w:rsidR="00B66852" w:rsidRPr="00B66852" w:rsidRDefault="00B66852" w:rsidP="00B66852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Abstract: Context-independent meaning (e.g., “security code”)</w:t>
      </w:r>
    </w:p>
    <w:p w14:paraId="35EF54ED" w14:textId="77777777" w:rsidR="00B66852" w:rsidRPr="00B66852" w:rsidRDefault="00B66852" w:rsidP="00B66852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Contextual: Domain-specific modulation (e.g., payments vs. gaming)</w:t>
      </w:r>
    </w:p>
    <w:p w14:paraId="3999E190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Each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subvector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is L2-normalized before concatenation. This decomposition allows variants like “pan”, “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card_no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”, “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primaryAccountNumber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” to initially coexist, then converge once evidence accumulates.</w:t>
      </w:r>
    </w:p>
    <w:p w14:paraId="5F6F2681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C. Context Projection Operator</w:t>
      </w:r>
    </w:p>
    <w:p w14:paraId="462510DC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For context c, define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Proj_c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ℝ^d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→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ℝ^d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with properties [7]:</w:t>
      </w:r>
    </w:p>
    <w:p w14:paraId="17049447" w14:textId="77777777" w:rsidR="00B66852" w:rsidRPr="00B66852" w:rsidRDefault="00B66852" w:rsidP="00B6685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Bounded norm: </w:t>
      </w:r>
      <w:r w:rsidRPr="00B66852">
        <w:rPr>
          <w:rFonts w:ascii="Cambria Math" w:hAnsi="Cambria Math" w:cs="Cambria Math"/>
          <w:sz w:val="20"/>
          <w:szCs w:val="20"/>
        </w:rPr>
        <w:t>∥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Proj_c</w:t>
      </w:r>
      <w:proofErr w:type="spellEnd"/>
      <w:r w:rsidRPr="00B66852">
        <w:rPr>
          <w:rFonts w:ascii="Cambria Math" w:hAnsi="Cambria Math" w:cs="Cambria Math"/>
          <w:sz w:val="20"/>
          <w:szCs w:val="20"/>
        </w:rPr>
        <w:t>∥</w:t>
      </w:r>
      <w:r w:rsidRPr="00B66852">
        <w:rPr>
          <w:rFonts w:ascii="Times New Roman" w:hAnsi="Times New Roman" w:cs="Times New Roman"/>
          <w:sz w:val="20"/>
          <w:szCs w:val="20"/>
        </w:rPr>
        <w:t xml:space="preserve"> ≤ κ</w:t>
      </w:r>
    </w:p>
    <w:p w14:paraId="25B91ECB" w14:textId="77777777" w:rsidR="00B66852" w:rsidRPr="00B66852" w:rsidRDefault="00B66852" w:rsidP="00B6685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Approximate idempotence: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Proj_c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Proj_c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(x)) ≈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Proj_c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(x)</w:t>
      </w:r>
    </w:p>
    <w:p w14:paraId="49DF11A9" w14:textId="77777777" w:rsidR="00B66852" w:rsidRPr="00B66852" w:rsidRDefault="00B66852" w:rsidP="00B6685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Stability: </w:t>
      </w:r>
      <w:r w:rsidRPr="00B66852">
        <w:rPr>
          <w:rFonts w:ascii="Cambria Math" w:hAnsi="Cambria Math" w:cs="Cambria Math"/>
          <w:sz w:val="20"/>
          <w:szCs w:val="20"/>
        </w:rPr>
        <w:t>∥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x + δ) –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Proj_c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(x)</w:t>
      </w:r>
      <w:r w:rsidRPr="00B66852">
        <w:rPr>
          <w:rFonts w:ascii="Cambria Math" w:hAnsi="Cambria Math" w:cs="Cambria Math"/>
          <w:sz w:val="20"/>
          <w:szCs w:val="20"/>
        </w:rPr>
        <w:t>∥</w:t>
      </w:r>
      <w:r w:rsidRPr="00B66852">
        <w:rPr>
          <w:rFonts w:ascii="Times New Roman" w:hAnsi="Times New Roman" w:cs="Times New Roman"/>
          <w:sz w:val="20"/>
          <w:szCs w:val="20"/>
        </w:rPr>
        <w:t xml:space="preserve"> ≤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κ</w:t>
      </w:r>
      <w:r w:rsidRPr="00B66852">
        <w:rPr>
          <w:rFonts w:ascii="Cambria Math" w:hAnsi="Cambria Math" w:cs="Cambria Math"/>
          <w:sz w:val="20"/>
          <w:szCs w:val="20"/>
        </w:rPr>
        <w:t>∥</w:t>
      </w:r>
      <w:r w:rsidRPr="00B66852">
        <w:rPr>
          <w:rFonts w:ascii="Times New Roman" w:hAnsi="Times New Roman" w:cs="Times New Roman"/>
          <w:sz w:val="20"/>
          <w:szCs w:val="20"/>
        </w:rPr>
        <w:t>δ</w:t>
      </w:r>
      <w:proofErr w:type="spellEnd"/>
      <w:r w:rsidRPr="00B66852">
        <w:rPr>
          <w:rFonts w:ascii="Cambria Math" w:hAnsi="Cambria Math" w:cs="Cambria Math"/>
          <w:sz w:val="20"/>
          <w:szCs w:val="20"/>
        </w:rPr>
        <w:t>∥</w:t>
      </w:r>
    </w:p>
    <w:p w14:paraId="0DB557EA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Practical realizations include:</w:t>
      </w:r>
    </w:p>
    <w:p w14:paraId="00FA657B" w14:textId="77777777" w:rsidR="00B66852" w:rsidRPr="00B66852" w:rsidRDefault="00B66852" w:rsidP="00B66852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Linear: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Proj_c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(x) =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W_c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· x (learned via PCA or ridge regression)</w:t>
      </w:r>
    </w:p>
    <w:p w14:paraId="2113DF60" w14:textId="77777777" w:rsidR="00B66852" w:rsidRPr="00B66852" w:rsidRDefault="00B66852" w:rsidP="00B66852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Attention-based: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Proj_c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(x) = </w:t>
      </w:r>
      <w:proofErr w:type="spellStart"/>
      <w:proofErr w:type="gramStart"/>
      <w:r w:rsidRPr="00B66852">
        <w:rPr>
          <w:rFonts w:ascii="Times New Roman" w:hAnsi="Times New Roman" w:cs="Times New Roman"/>
          <w:sz w:val="20"/>
          <w:szCs w:val="20"/>
        </w:rPr>
        <w:t>diag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(σ(</w:t>
      </w:r>
      <w:proofErr w:type="spellStart"/>
      <w:proofErr w:type="gramEnd"/>
      <w:r w:rsidRPr="00B66852">
        <w:rPr>
          <w:rFonts w:ascii="Times New Roman" w:hAnsi="Times New Roman" w:cs="Times New Roman"/>
          <w:sz w:val="20"/>
          <w:szCs w:val="20"/>
        </w:rPr>
        <w:t>A_c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· x)) · x [7]</w:t>
      </w:r>
    </w:p>
    <w:p w14:paraId="126D287E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These projections ensure that the same token embedded in different contexts becomes nearly orthogonal (e.g., “score” in Risk vs. Payments).</w:t>
      </w:r>
    </w:p>
    <w:p w14:paraId="00B714C0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D. Mathematical Foundations</w:t>
      </w:r>
    </w:p>
    <w:p w14:paraId="0AA3B09B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lastRenderedPageBreak/>
        <w:t>Definition 1 (SRS Metric) [5]: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For primitives p₁, p₂ and context c </w:t>
      </w:r>
      <w:r w:rsidRPr="00B66852">
        <w:rPr>
          <w:rFonts w:ascii="Cambria Math" w:hAnsi="Cambria Math" w:cs="Cambria Math"/>
          <w:sz w:val="20"/>
          <w:szCs w:val="20"/>
        </w:rPr>
        <w:t>∈</w:t>
      </w:r>
      <w:r w:rsidRPr="00B66852">
        <w:rPr>
          <w:rFonts w:ascii="Times New Roman" w:hAnsi="Times New Roman" w:cs="Times New Roman"/>
          <w:sz w:val="20"/>
          <w:szCs w:val="20"/>
        </w:rPr>
        <w:t xml:space="preserve"> C, define:</w:t>
      </w:r>
      <w:r w:rsidRPr="00B66852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d_SRS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((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₁,c</w:t>
      </w:r>
      <w:proofErr w:type="spellEnd"/>
      <w:proofErr w:type="gramEnd"/>
      <w:r w:rsidRPr="00B66852">
        <w:rPr>
          <w:rFonts w:ascii="Times New Roman" w:hAnsi="Times New Roman" w:cs="Times New Roman"/>
          <w:sz w:val="20"/>
          <w:szCs w:val="20"/>
        </w:rPr>
        <w:t>), (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₂,c</w:t>
      </w:r>
      <w:proofErr w:type="spellEnd"/>
      <w:proofErr w:type="gramEnd"/>
      <w:r w:rsidRPr="00B66852">
        <w:rPr>
          <w:rFonts w:ascii="Times New Roman" w:hAnsi="Times New Roman" w:cs="Times New Roman"/>
          <w:sz w:val="20"/>
          <w:szCs w:val="20"/>
        </w:rPr>
        <w:t>)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) :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= </w:t>
      </w:r>
      <w:r w:rsidRPr="00B66852">
        <w:rPr>
          <w:rFonts w:ascii="Cambria Math" w:hAnsi="Cambria Math" w:cs="Cambria Math"/>
          <w:sz w:val="20"/>
          <w:szCs w:val="20"/>
        </w:rPr>
        <w:t>∥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(Emb(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p₁, c)) –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(Emb(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>p₂, c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))</w:t>
      </w:r>
      <w:r w:rsidRPr="00B66852">
        <w:rPr>
          <w:rFonts w:ascii="Cambria Math" w:hAnsi="Cambria Math" w:cs="Cambria Math"/>
          <w:sz w:val="20"/>
          <w:szCs w:val="20"/>
        </w:rPr>
        <w:t>∥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>₂</w:t>
      </w:r>
    </w:p>
    <w:p w14:paraId="44BAD189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Given the stability of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Proj_c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and the normed space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ℝ^d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d_SRS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satisfies the standard metric properties (non-negativity, symmetry, triangle inequality) [5].</w:t>
      </w:r>
    </w:p>
    <w:p w14:paraId="4E054A56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Definition 2 (Evidence-Weighted Inner Product) [6]: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For entities e₁, e₂ </w:t>
      </w:r>
      <w:r w:rsidRPr="00B66852">
        <w:rPr>
          <w:rFonts w:ascii="Cambria Math" w:hAnsi="Cambria Math" w:cs="Cambria Math"/>
          <w:sz w:val="20"/>
          <w:szCs w:val="20"/>
        </w:rPr>
        <w:t>∈</w:t>
      </w:r>
      <w:r w:rsidRPr="00B66852">
        <w:rPr>
          <w:rFonts w:ascii="Times New Roman" w:hAnsi="Times New Roman" w:cs="Times New Roman"/>
          <w:sz w:val="20"/>
          <w:szCs w:val="20"/>
        </w:rPr>
        <w:t xml:space="preserve"> E with evidence sets Ev₁, Ev₂, define:</w:t>
      </w:r>
      <w:r w:rsidRPr="00B66852">
        <w:rPr>
          <w:rFonts w:ascii="Times New Roman" w:hAnsi="Times New Roman" w:cs="Times New Roman"/>
          <w:sz w:val="20"/>
          <w:szCs w:val="20"/>
        </w:rPr>
        <w:br/>
      </w:r>
      <w:r w:rsidRPr="00B66852">
        <w:rPr>
          <w:rFonts w:ascii="Cambria Math" w:hAnsi="Cambria Math" w:cs="Cambria Math"/>
          <w:sz w:val="20"/>
          <w:szCs w:val="20"/>
        </w:rPr>
        <w:t>⟨</w:t>
      </w:r>
      <w:r w:rsidRPr="00B66852">
        <w:rPr>
          <w:rFonts w:ascii="Times New Roman" w:hAnsi="Times New Roman" w:cs="Times New Roman"/>
          <w:sz w:val="20"/>
          <w:szCs w:val="20"/>
        </w:rPr>
        <w:t>e₁, e₂</w:t>
      </w:r>
      <w:r w:rsidRPr="00B66852">
        <w:rPr>
          <w:rFonts w:ascii="Cambria Math" w:hAnsi="Cambria Math" w:cs="Cambria Math"/>
          <w:sz w:val="20"/>
          <w:szCs w:val="20"/>
        </w:rPr>
        <w:t>⟩</w:t>
      </w:r>
      <w:r w:rsidRPr="00B66852">
        <w:rPr>
          <w:rFonts w:ascii="Times New Roman" w:hAnsi="Times New Roman" w:cs="Times New Roman"/>
          <w:sz w:val="20"/>
          <w:szCs w:val="20"/>
        </w:rPr>
        <w:t xml:space="preserve">_E := ∑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w_i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Ev_i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) · </w:t>
      </w:r>
      <w:r w:rsidRPr="00B66852">
        <w:rPr>
          <w:rFonts w:ascii="Cambria Math" w:hAnsi="Cambria Math" w:cs="Cambria Math"/>
          <w:sz w:val="20"/>
          <w:szCs w:val="20"/>
        </w:rPr>
        <w:t>⟨</w:t>
      </w:r>
      <w:r w:rsidRPr="00B66852">
        <w:rPr>
          <w:rFonts w:ascii="Times New Roman" w:hAnsi="Times New Roman" w:cs="Times New Roman"/>
          <w:sz w:val="20"/>
          <w:szCs w:val="20"/>
        </w:rPr>
        <w:t>Emb(e₁), Emb(e₂)</w:t>
      </w:r>
      <w:r w:rsidRPr="00B66852">
        <w:rPr>
          <w:rFonts w:ascii="Cambria Math" w:hAnsi="Cambria Math" w:cs="Cambria Math"/>
          <w:sz w:val="20"/>
          <w:szCs w:val="20"/>
        </w:rPr>
        <w:t>⟩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where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w_i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= score(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Ev_i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) / ∑ score(Ev_j) are normalized evidence weights.</w:t>
      </w:r>
    </w:p>
    <w:p w14:paraId="3C01AFB7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This yields a weighted inner-product space on SRS (assumed to be complete under finite or appropriately bounded evidence sets).</w:t>
      </w:r>
    </w:p>
    <w:p w14:paraId="346081D0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III. Semantic Data Normal Forms</w:t>
      </w:r>
    </w:p>
    <w:p w14:paraId="7560CCE5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Each normal form (NF) addresses a specific semantic anomaly with a formal constraint, a validation metric, and a remediation action.</w:t>
      </w:r>
    </w:p>
    <w:p w14:paraId="1DA16035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A. EENF: Entity Embedding Normal Form</w:t>
      </w:r>
    </w:p>
    <w:p w14:paraId="52F4A433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Anomaly: Stochastic instability</w:t>
      </w:r>
      <w:r w:rsidRPr="00B66852">
        <w:rPr>
          <w:rFonts w:ascii="Times New Roman" w:hAnsi="Times New Roman" w:cs="Times New Roman"/>
          <w:sz w:val="20"/>
          <w:szCs w:val="20"/>
        </w:rPr>
        <w:br/>
        <w:t>Goal: Ensure consistent embedding representation</w:t>
      </w:r>
      <w:r w:rsidRPr="00B66852">
        <w:rPr>
          <w:rFonts w:ascii="Times New Roman" w:hAnsi="Times New Roman" w:cs="Times New Roman"/>
          <w:sz w:val="20"/>
          <w:szCs w:val="20"/>
        </w:rPr>
        <w:br/>
        <w:t>Definition: An entity e satisfies EENF in context c if the variance of its embeddings over multiple regenerations is bounded:</w:t>
      </w:r>
      <w:r w:rsidRPr="00B66852">
        <w:rPr>
          <w:rFonts w:ascii="Times New Roman" w:hAnsi="Times New Roman" w:cs="Times New Roman"/>
          <w:sz w:val="20"/>
          <w:szCs w:val="20"/>
        </w:rPr>
        <w:br/>
        <w:t>Var({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Emb^g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(e, c) | g = 1..G}) ≤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τ_EENF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(e.g., G = 10 trials)</w:t>
      </w:r>
      <w:r w:rsidRPr="00B66852">
        <w:rPr>
          <w:rFonts w:ascii="Times New Roman" w:hAnsi="Times New Roman" w:cs="Times New Roman"/>
          <w:sz w:val="20"/>
          <w:szCs w:val="20"/>
        </w:rPr>
        <w:br/>
        <w:t>Explanation: Like a primary key ensures uniqueness [1], EENF ensures that embeddings for the same concept remain stable across repeated encodings.</w:t>
      </w:r>
      <w:r w:rsidRPr="00B66852">
        <w:rPr>
          <w:rFonts w:ascii="Times New Roman" w:hAnsi="Times New Roman" w:cs="Times New Roman"/>
          <w:sz w:val="20"/>
          <w:szCs w:val="20"/>
        </w:rPr>
        <w:br/>
        <w:t>Action: Quarantine unstable entities; retrain embedding model or apply deterministic seeding.</w:t>
      </w:r>
    </w:p>
    <w:p w14:paraId="0E4C154B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B. AANF: Attribute Alias Normal Form</w:t>
      </w:r>
    </w:p>
    <w:p w14:paraId="17D98CC8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Anomaly: Synonym redundancy</w:t>
      </w:r>
      <w:r w:rsidRPr="00B66852">
        <w:rPr>
          <w:rFonts w:ascii="Times New Roman" w:hAnsi="Times New Roman" w:cs="Times New Roman"/>
          <w:sz w:val="20"/>
          <w:szCs w:val="20"/>
        </w:rPr>
        <w:br/>
        <w:t>Goal: Detect duplicate attributes with different names [4]</w:t>
      </w:r>
      <w:r w:rsidRPr="00B66852">
        <w:rPr>
          <w:rFonts w:ascii="Times New Roman" w:hAnsi="Times New Roman" w:cs="Times New Roman"/>
          <w:sz w:val="20"/>
          <w:szCs w:val="20"/>
        </w:rPr>
        <w:br/>
        <w:t>Definition: Attributes a, b are semantic aliases if:</w:t>
      </w:r>
      <w:r w:rsidRPr="00B66852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cos_sim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(Emb(a, c₁), Emb(b, c₂)) ≥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τ_AANF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br/>
        <w:t xml:space="preserve">AND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ontology_root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(a) =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ontology_root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(b)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AND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EvidenceSet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(a, b) ≥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m_min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br/>
        <w:t>Explanation: If “pan” and “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cardNumber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” have 0.98 similarity [3], map to the same ontology node [4], and co-occur in transactions, AANF merges them into a canonical attribute with both as aliases.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Action: Auto-merge if evidence ≥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m_min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; defer if insufficient.</w:t>
      </w:r>
    </w:p>
    <w:p w14:paraId="0FFA806B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C. CMNF: Context Modulation Normal Form</w:t>
      </w:r>
    </w:p>
    <w:p w14:paraId="181D3F59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Anomaly: Context leakage (cross-domain confusion)</w:t>
      </w:r>
      <w:r w:rsidRPr="00B66852">
        <w:rPr>
          <w:rFonts w:ascii="Times New Roman" w:hAnsi="Times New Roman" w:cs="Times New Roman"/>
          <w:sz w:val="20"/>
          <w:szCs w:val="20"/>
        </w:rPr>
        <w:br/>
        <w:t>Goal: Prevent semantic overlap between distinct contexts</w:t>
      </w:r>
      <w:r w:rsidRPr="00B66852">
        <w:rPr>
          <w:rFonts w:ascii="Times New Roman" w:hAnsi="Times New Roman" w:cs="Times New Roman"/>
          <w:sz w:val="20"/>
          <w:szCs w:val="20"/>
        </w:rPr>
        <w:br/>
        <w:t>Definition: For primitive p in contexts c₁, c₂:</w:t>
      </w:r>
      <w:r w:rsidRPr="00B66852">
        <w:rPr>
          <w:rFonts w:ascii="Times New Roman" w:hAnsi="Times New Roman" w:cs="Times New Roman"/>
          <w:sz w:val="20"/>
          <w:szCs w:val="20"/>
        </w:rPr>
        <w:br/>
      </w:r>
      <w:r w:rsidRPr="00B66852">
        <w:rPr>
          <w:rFonts w:ascii="Cambria Math" w:hAnsi="Cambria Math" w:cs="Cambria Math"/>
          <w:sz w:val="20"/>
          <w:szCs w:val="20"/>
        </w:rPr>
        <w:t>⟨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Proj_c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₁(Emb(p, c₁)),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Proj_c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₂(Emb(p, c₂))</w:t>
      </w:r>
      <w:r w:rsidRPr="00B66852">
        <w:rPr>
          <w:rFonts w:ascii="Cambria Math" w:hAnsi="Cambria Math" w:cs="Cambria Math"/>
          <w:sz w:val="20"/>
          <w:szCs w:val="20"/>
        </w:rPr>
        <w:t>⟩</w:t>
      </w:r>
      <w:r w:rsidRPr="00B66852">
        <w:rPr>
          <w:rFonts w:ascii="Times New Roman" w:hAnsi="Times New Roman" w:cs="Times New Roman"/>
          <w:sz w:val="20"/>
          <w:szCs w:val="20"/>
        </w:rPr>
        <w:t xml:space="preserve"> ≤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τ_CMNF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br/>
        <w:t>Explanation: CMNF ensures that the same token (e.g., “score”) has orthogonal representations in different domains [7] (e.g., Risk vs. Payments).</w:t>
      </w:r>
      <w:r w:rsidRPr="00B66852">
        <w:rPr>
          <w:rFonts w:ascii="Times New Roman" w:hAnsi="Times New Roman" w:cs="Times New Roman"/>
          <w:sz w:val="20"/>
          <w:szCs w:val="20"/>
        </w:rPr>
        <w:br/>
        <w:t>Analogy: Like a soundproof wall between semantic rooms.</w:t>
      </w:r>
      <w:r w:rsidRPr="00B66852">
        <w:rPr>
          <w:rFonts w:ascii="Times New Roman" w:hAnsi="Times New Roman" w:cs="Times New Roman"/>
          <w:sz w:val="20"/>
          <w:szCs w:val="20"/>
        </w:rPr>
        <w:br/>
        <w:t>Action: Retrain projection matrices [7] or flag contamination.</w:t>
      </w:r>
    </w:p>
    <w:p w14:paraId="3513EED5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D. DBNF: Drift-Bounded Normal Form</w:t>
      </w:r>
    </w:p>
    <w:p w14:paraId="58BE2F61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lastRenderedPageBreak/>
        <w:t>Anomaly: Semantic drift across model versions [8]</w:t>
      </w:r>
      <w:r w:rsidRPr="00B66852">
        <w:rPr>
          <w:rFonts w:ascii="Times New Roman" w:hAnsi="Times New Roman" w:cs="Times New Roman"/>
          <w:sz w:val="20"/>
          <w:szCs w:val="20"/>
        </w:rPr>
        <w:br/>
        <w:t>Goal: Detect when concept meaning changes too much</w:t>
      </w:r>
      <w:r w:rsidRPr="00B66852">
        <w:rPr>
          <w:rFonts w:ascii="Times New Roman" w:hAnsi="Times New Roman" w:cs="Times New Roman"/>
          <w:sz w:val="20"/>
          <w:szCs w:val="20"/>
        </w:rPr>
        <w:br/>
        <w:t>Definition: Entity e satisfies DBNF if:</w:t>
      </w:r>
      <w:r w:rsidRPr="00B66852">
        <w:rPr>
          <w:rFonts w:ascii="Times New Roman" w:hAnsi="Times New Roman" w:cs="Times New Roman"/>
          <w:sz w:val="20"/>
          <w:szCs w:val="20"/>
        </w:rPr>
        <w:br/>
      </w:r>
      <w:r w:rsidRPr="00B66852">
        <w:rPr>
          <w:rFonts w:ascii="Cambria Math" w:hAnsi="Cambria Math" w:cs="Cambria Math"/>
          <w:sz w:val="20"/>
          <w:szCs w:val="20"/>
        </w:rPr>
        <w:t>∥</w:t>
      </w:r>
      <w:r w:rsidRPr="00B66852">
        <w:rPr>
          <w:rFonts w:ascii="Times New Roman" w:hAnsi="Times New Roman" w:cs="Times New Roman"/>
          <w:sz w:val="20"/>
          <w:szCs w:val="20"/>
        </w:rPr>
        <w:t>Emb(e, v₁) – Emb(e, v₂)</w:t>
      </w:r>
      <w:r w:rsidRPr="00B66852">
        <w:rPr>
          <w:rFonts w:ascii="Cambria Math" w:hAnsi="Cambria Math" w:cs="Cambria Math"/>
          <w:sz w:val="20"/>
          <w:szCs w:val="20"/>
        </w:rPr>
        <w:t>∥</w:t>
      </w:r>
      <w:r w:rsidRPr="00B66852">
        <w:rPr>
          <w:rFonts w:ascii="Times New Roman" w:hAnsi="Times New Roman" w:cs="Times New Roman"/>
          <w:sz w:val="20"/>
          <w:szCs w:val="20"/>
        </w:rPr>
        <w:t xml:space="preserve"> ≤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τ_DBNF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br/>
        <w:t>Explanation: If “Gateway” shifts from “payment processor” to “network router” between model versions [8], DBNF detects the drift and triggers a fork.</w:t>
      </w:r>
      <w:r w:rsidRPr="00B66852">
        <w:rPr>
          <w:rFonts w:ascii="Times New Roman" w:hAnsi="Times New Roman" w:cs="Times New Roman"/>
          <w:sz w:val="20"/>
          <w:szCs w:val="20"/>
        </w:rPr>
        <w:br/>
        <w:t>Action: Create versioned fork; preserve historical semantics.</w:t>
      </w:r>
    </w:p>
    <w:p w14:paraId="132C7974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E. ECNF: Evidence Completeness Normal Form</w:t>
      </w:r>
    </w:p>
    <w:p w14:paraId="2C3C091F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Anomaly: Black-box merges</w:t>
      </w:r>
      <w:r w:rsidRPr="00B66852">
        <w:rPr>
          <w:rFonts w:ascii="Times New Roman" w:hAnsi="Times New Roman" w:cs="Times New Roman"/>
          <w:sz w:val="20"/>
          <w:szCs w:val="20"/>
        </w:rPr>
        <w:br/>
        <w:t>Goal: Ensure every semantic decision is explainable</w:t>
      </w:r>
      <w:r w:rsidRPr="00B66852">
        <w:rPr>
          <w:rFonts w:ascii="Times New Roman" w:hAnsi="Times New Roman" w:cs="Times New Roman"/>
          <w:sz w:val="20"/>
          <w:szCs w:val="20"/>
        </w:rPr>
        <w:br/>
        <w:t>Definition: Operation O is permitted only if:</w:t>
      </w:r>
      <w:r w:rsidRPr="00B66852">
        <w:rPr>
          <w:rFonts w:ascii="Times New Roman" w:hAnsi="Times New Roman" w:cs="Times New Roman"/>
          <w:sz w:val="20"/>
          <w:szCs w:val="20"/>
        </w:rPr>
        <w:br/>
        <w:t>|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EvidenceSet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(O)| ≥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m_min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aggregate_score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EvidenceSet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(O)) ≥ γ</w:t>
      </w:r>
      <w:r w:rsidRPr="00B66852">
        <w:rPr>
          <w:rFonts w:ascii="Times New Roman" w:hAnsi="Times New Roman" w:cs="Times New Roman"/>
          <w:sz w:val="20"/>
          <w:szCs w:val="20"/>
        </w:rPr>
        <w:br/>
        <w:t>Explanation: Merges require diverse evidence (e.g., embedding similarity [3], ontology match [4], co-occurrence, regex) with a high aggregate score.</w:t>
      </w:r>
      <w:r w:rsidRPr="00B66852">
        <w:rPr>
          <w:rFonts w:ascii="Times New Roman" w:hAnsi="Times New Roman" w:cs="Times New Roman"/>
          <w:sz w:val="20"/>
          <w:szCs w:val="20"/>
        </w:rPr>
        <w:br/>
        <w:t>Action: Auto-merge if score ≥ γ; otherwise defer to human review.</w:t>
      </w:r>
    </w:p>
    <w:p w14:paraId="1636A3A9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F. RRNF &amp; PONF (Brief)</w:t>
      </w:r>
    </w:p>
    <w:p w14:paraId="4931431D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RRNF (Relation Role NF): Prevents invalid transitive inferences (e.g., Customer → Card only if Customer → Account AND Account → Card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have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 compatible roles)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PONF (Partition Orthogonality NF): Ensures semantic clusters remain distinct; if partitions overlap &gt;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τ_PONF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, trigger re-partitioning.</w:t>
      </w:r>
    </w:p>
    <w:p w14:paraId="01E89CA3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IV. Theorems and Mathematical Completeness</w:t>
      </w:r>
    </w:p>
    <w:p w14:paraId="53CDB84F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A. Theorem 1: CMNF Cross-Context Safety</w:t>
      </w:r>
    </w:p>
    <w:p w14:paraId="16249728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Statement:</w:t>
      </w:r>
      <w:r w:rsidRPr="00B66852">
        <w:rPr>
          <w:rFonts w:ascii="Times New Roman" w:hAnsi="Times New Roman" w:cs="Times New Roman"/>
          <w:sz w:val="20"/>
          <w:szCs w:val="20"/>
        </w:rPr>
        <w:br/>
        <w:t>If CMNF holds for contexts c₁ and c₂ (i.e., for all p:</w:t>
      </w:r>
      <w:r w:rsidRPr="00B66852">
        <w:rPr>
          <w:rFonts w:ascii="Times New Roman" w:hAnsi="Times New Roman" w:cs="Times New Roman"/>
          <w:sz w:val="20"/>
          <w:szCs w:val="20"/>
        </w:rPr>
        <w:br/>
      </w:r>
      <w:r w:rsidRPr="00B66852">
        <w:rPr>
          <w:rFonts w:ascii="Cambria Math" w:hAnsi="Cambria Math" w:cs="Cambria Math"/>
          <w:sz w:val="20"/>
          <w:szCs w:val="20"/>
        </w:rPr>
        <w:t>⟨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Proj_c</w:t>
      </w:r>
      <w:proofErr w:type="spellEnd"/>
      <w:proofErr w:type="gramStart"/>
      <w:r w:rsidRPr="00B66852">
        <w:rPr>
          <w:rFonts w:ascii="Times New Roman" w:hAnsi="Times New Roman" w:cs="Times New Roman"/>
          <w:sz w:val="20"/>
          <w:szCs w:val="20"/>
        </w:rPr>
        <w:t>₁(Emb(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p, c₁)),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Proj_c</w:t>
      </w:r>
      <w:proofErr w:type="spellEnd"/>
      <w:proofErr w:type="gramStart"/>
      <w:r w:rsidRPr="00B66852">
        <w:rPr>
          <w:rFonts w:ascii="Times New Roman" w:hAnsi="Times New Roman" w:cs="Times New Roman"/>
          <w:sz w:val="20"/>
          <w:szCs w:val="20"/>
        </w:rPr>
        <w:t>₂(Emb(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>p, c₂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))</w:t>
      </w:r>
      <w:r w:rsidRPr="00B66852">
        <w:rPr>
          <w:rFonts w:ascii="Cambria Math" w:hAnsi="Cambria Math" w:cs="Cambria Math"/>
          <w:sz w:val="20"/>
          <w:szCs w:val="20"/>
        </w:rPr>
        <w:t>⟩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 ≤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τ_CMNF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),</w:t>
      </w:r>
      <w:r w:rsidRPr="00B66852">
        <w:rPr>
          <w:rFonts w:ascii="Times New Roman" w:hAnsi="Times New Roman" w:cs="Times New Roman"/>
          <w:sz w:val="20"/>
          <w:szCs w:val="20"/>
        </w:rPr>
        <w:br/>
        <w:t>then the probability of cross-context retrieval error is bounded by a function f(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τ_CMNF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).</w:t>
      </w:r>
    </w:p>
    <w:p w14:paraId="14C78598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Proof Sketch: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Nearest-neighbor retrieval depends on angular similarity (cosine) [3]. By constraining dot products, CMNF forces vectors into near-orthogonal subspaces [7]. Concentration bounds [11] imply that cross-context similarity probability decreases exponentially as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τ_CMNF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→ 0.</w:t>
      </w:r>
    </w:p>
    <w:p w14:paraId="455CC434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Interpretation:</w:t>
      </w:r>
      <w:r w:rsidRPr="00B66852">
        <w:rPr>
          <w:rFonts w:ascii="Times New Roman" w:hAnsi="Times New Roman" w:cs="Times New Roman"/>
          <w:sz w:val="20"/>
          <w:szCs w:val="20"/>
        </w:rPr>
        <w:br/>
        <w:t>Smaller overlap → harder for a query in one semantic “room” to retrieve concepts from another.</w:t>
      </w:r>
    </w:p>
    <w:p w14:paraId="12DFCA46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B. Theorem 2: DBNF Drift Fork Necessity</w:t>
      </w:r>
    </w:p>
    <w:p w14:paraId="2E5F8891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Statement: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If </w:t>
      </w:r>
      <w:r w:rsidRPr="00B66852">
        <w:rPr>
          <w:rFonts w:ascii="Cambria Math" w:hAnsi="Cambria Math" w:cs="Cambria Math"/>
          <w:sz w:val="20"/>
          <w:szCs w:val="20"/>
        </w:rPr>
        <w:t>∥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Emb(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e, v₁) –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Emb(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>e, v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₂)</w:t>
      </w:r>
      <w:r w:rsidRPr="00B66852">
        <w:rPr>
          <w:rFonts w:ascii="Cambria Math" w:hAnsi="Cambria Math" w:cs="Cambria Math"/>
          <w:sz w:val="20"/>
          <w:szCs w:val="20"/>
        </w:rPr>
        <w:t>∥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τ_DBNF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, any algorithm assuming e is unchanged may yield arbitrarily inconsistent results [8]. Forking restores consistency.</w:t>
      </w:r>
    </w:p>
    <w:p w14:paraId="2206F1CD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Proof Sketch:</w:t>
      </w:r>
      <w:r w:rsidRPr="00B66852">
        <w:rPr>
          <w:rFonts w:ascii="Times New Roman" w:hAnsi="Times New Roman" w:cs="Times New Roman"/>
          <w:sz w:val="20"/>
          <w:szCs w:val="20"/>
        </w:rPr>
        <w:br/>
        <w:t>By triangle inequality [5], downstream operation O divergence:</w:t>
      </w:r>
      <w:r w:rsidRPr="00B66852">
        <w:rPr>
          <w:rFonts w:ascii="Times New Roman" w:hAnsi="Times New Roman" w:cs="Times New Roman"/>
          <w:sz w:val="20"/>
          <w:szCs w:val="20"/>
        </w:rPr>
        <w:br/>
      </w:r>
      <w:r w:rsidRPr="00B66852">
        <w:rPr>
          <w:rFonts w:ascii="Cambria Math" w:hAnsi="Cambria Math" w:cs="Cambria Math"/>
          <w:sz w:val="20"/>
          <w:szCs w:val="20"/>
        </w:rPr>
        <w:t>∥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O(Emb(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e, v₁)) –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O(Emb(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>e, v₂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))</w:t>
      </w:r>
      <w:r w:rsidRPr="00B66852">
        <w:rPr>
          <w:rFonts w:ascii="Cambria Math" w:hAnsi="Cambria Math" w:cs="Cambria Math"/>
          <w:sz w:val="20"/>
          <w:szCs w:val="20"/>
        </w:rPr>
        <w:t>∥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 ≥ </w:t>
      </w:r>
      <w:r w:rsidRPr="00B66852">
        <w:rPr>
          <w:rFonts w:ascii="Cambria Math" w:hAnsi="Cambria Math" w:cs="Cambria Math"/>
          <w:sz w:val="20"/>
          <w:szCs w:val="20"/>
        </w:rPr>
        <w:t>∥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Emb(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e, v₁) –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Emb(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>e, v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₂)</w:t>
      </w:r>
      <w:r w:rsidRPr="00B66852">
        <w:rPr>
          <w:rFonts w:ascii="Cambria Math" w:hAnsi="Cambria Math" w:cs="Cambria Math"/>
          <w:sz w:val="20"/>
          <w:szCs w:val="20"/>
        </w:rPr>
        <w:t>∥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 – K</w:t>
      </w:r>
      <w:r w:rsidRPr="00B66852">
        <w:rPr>
          <w:rFonts w:ascii="Times New Roman" w:hAnsi="Times New Roman" w:cs="Times New Roman"/>
          <w:sz w:val="20"/>
          <w:szCs w:val="20"/>
        </w:rPr>
        <w:br/>
        <w:t>For large drift [8], output divergence becomes unbounded. Forking isolates versions.</w:t>
      </w:r>
    </w:p>
    <w:p w14:paraId="7F77181D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Interpretation:</w:t>
      </w:r>
      <w:r w:rsidRPr="00B66852">
        <w:rPr>
          <w:rFonts w:ascii="Times New Roman" w:hAnsi="Times New Roman" w:cs="Times New Roman"/>
          <w:sz w:val="20"/>
          <w:szCs w:val="20"/>
        </w:rPr>
        <w:br/>
        <w:t>Once meaning drifts too far, no downstream correction can reconcile old and new semantics safely—forking is necessary.</w:t>
      </w:r>
    </w:p>
    <w:p w14:paraId="16E51E27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C. Theorem 3: SRS Completeness Under SDNF</w:t>
      </w:r>
    </w:p>
    <w:p w14:paraId="6EC27D54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lastRenderedPageBreak/>
        <w:t>Statement: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An SRS satisfying all seven semantic normal forms (EENF, AANF, CMNF, DBNF, ECNF, RRNF, PONF) is a complete metric space [5], [6] under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d_SRS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. That is, every Cauchy sequence converges to a limit within the SRS.</w:t>
      </w:r>
    </w:p>
    <w:p w14:paraId="364F0470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Proof Sketch:</w:t>
      </w:r>
    </w:p>
    <w:p w14:paraId="106A1F85" w14:textId="77777777" w:rsidR="00B66852" w:rsidRPr="00B66852" w:rsidRDefault="00B66852" w:rsidP="00B66852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EENF </w:t>
      </w:r>
      <w:r w:rsidRPr="00B66852">
        <w:rPr>
          <w:rFonts w:ascii="Cambria Math" w:hAnsi="Cambria Math" w:cs="Cambria Math"/>
          <w:sz w:val="20"/>
          <w:szCs w:val="20"/>
        </w:rPr>
        <w:t>⇒</w:t>
      </w:r>
      <w:r w:rsidRPr="00B66852">
        <w:rPr>
          <w:rFonts w:ascii="Times New Roman" w:hAnsi="Times New Roman" w:cs="Times New Roman"/>
          <w:sz w:val="20"/>
          <w:szCs w:val="20"/>
        </w:rPr>
        <w:t xml:space="preserve"> Bounded variation: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Var(</w:t>
      </w:r>
      <w:proofErr w:type="spellStart"/>
      <w:proofErr w:type="gramEnd"/>
      <w:r w:rsidRPr="00B66852">
        <w:rPr>
          <w:rFonts w:ascii="Times New Roman" w:hAnsi="Times New Roman" w:cs="Times New Roman"/>
          <w:sz w:val="20"/>
          <w:szCs w:val="20"/>
        </w:rPr>
        <w:t>Emb^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g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e, c)) ≤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τ_EENF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ensures </w:t>
      </w:r>
      <w:r w:rsidRPr="00B66852">
        <w:rPr>
          <w:rFonts w:ascii="Cambria Math" w:hAnsi="Cambria Math" w:cs="Cambria Math"/>
          <w:sz w:val="20"/>
          <w:szCs w:val="20"/>
        </w:rPr>
        <w:t>∥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Emb(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eₙ, c) –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Emb(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eₘ,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c)</w:t>
      </w:r>
      <w:r w:rsidRPr="00B66852">
        <w:rPr>
          <w:rFonts w:ascii="Cambria Math" w:hAnsi="Cambria Math" w:cs="Cambria Math"/>
          <w:sz w:val="20"/>
          <w:szCs w:val="20"/>
        </w:rPr>
        <w:t>∥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 ≤ 2√τ_EENF &lt; ε</w:t>
      </w:r>
    </w:p>
    <w:p w14:paraId="5247FB32" w14:textId="77777777" w:rsidR="00B66852" w:rsidRPr="00B66852" w:rsidRDefault="00B66852" w:rsidP="00B66852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DBNF </w:t>
      </w:r>
      <w:r w:rsidRPr="00B66852">
        <w:rPr>
          <w:rFonts w:ascii="Cambria Math" w:hAnsi="Cambria Math" w:cs="Cambria Math"/>
          <w:sz w:val="20"/>
          <w:szCs w:val="20"/>
        </w:rPr>
        <w:t>⇒</w:t>
      </w:r>
      <w:r w:rsidRPr="00B66852">
        <w:rPr>
          <w:rFonts w:ascii="Times New Roman" w:hAnsi="Times New Roman" w:cs="Times New Roman"/>
          <w:sz w:val="20"/>
          <w:szCs w:val="20"/>
        </w:rPr>
        <w:t xml:space="preserve"> Temporal completeness: Drift bounds prevent escaping sequences [8]. The governance pipeline acts as a contraction mapping T: SRS → SRS with Lipschitz constant q =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τ_DBNF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diam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(space) &lt; 1 [9], guaranteeing a unique fixed point.</w:t>
      </w:r>
    </w:p>
    <w:p w14:paraId="2E7C8AC0" w14:textId="77777777" w:rsidR="00B66852" w:rsidRPr="00B66852" w:rsidRDefault="00B66852" w:rsidP="00B66852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CMNF </w:t>
      </w:r>
      <w:r w:rsidRPr="00B66852">
        <w:rPr>
          <w:rFonts w:ascii="Cambria Math" w:hAnsi="Cambria Math" w:cs="Cambria Math"/>
          <w:sz w:val="20"/>
          <w:szCs w:val="20"/>
        </w:rPr>
        <w:t>⇒</w:t>
      </w:r>
      <w:r w:rsidRPr="00B66852">
        <w:rPr>
          <w:rFonts w:ascii="Times New Roman" w:hAnsi="Times New Roman" w:cs="Times New Roman"/>
          <w:sz w:val="20"/>
          <w:szCs w:val="20"/>
        </w:rPr>
        <w:t xml:space="preserve"> Orthogonal decomposition: Enforces projection theorem [6]—every element x uniquely decomposes as x =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x_M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+ x_{M</w:t>
      </w:r>
      <w:r w:rsidRPr="00B66852">
        <w:rPr>
          <w:rFonts w:ascii="Cambria Math" w:hAnsi="Cambria Math" w:cs="Cambria Math"/>
          <w:sz w:val="20"/>
          <w:szCs w:val="20"/>
        </w:rPr>
        <w:t>⊥</w:t>
      </w:r>
      <w:r w:rsidRPr="00B66852">
        <w:rPr>
          <w:rFonts w:ascii="Times New Roman" w:hAnsi="Times New Roman" w:cs="Times New Roman"/>
          <w:sz w:val="20"/>
          <w:szCs w:val="20"/>
        </w:rPr>
        <w:t>} per context, preserving completeness in projected subspaces.</w:t>
      </w:r>
    </w:p>
    <w:p w14:paraId="7AE3BC91" w14:textId="77777777" w:rsidR="00B66852" w:rsidRPr="00B66852" w:rsidRDefault="00B66852" w:rsidP="00B66852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AANF + ECNF </w:t>
      </w:r>
      <w:r w:rsidRPr="00B66852">
        <w:rPr>
          <w:rFonts w:ascii="Cambria Math" w:hAnsi="Cambria Math" w:cs="Cambria Math"/>
          <w:sz w:val="20"/>
          <w:szCs w:val="20"/>
        </w:rPr>
        <w:t>⇒</w:t>
      </w:r>
      <w:r w:rsidRPr="00B66852">
        <w:rPr>
          <w:rFonts w:ascii="Times New Roman" w:hAnsi="Times New Roman" w:cs="Times New Roman"/>
          <w:sz w:val="20"/>
          <w:szCs w:val="20"/>
        </w:rPr>
        <w:t xml:space="preserve"> Closure: Progressive merging of high-similarity aliases [3], [4] ensures denseness—no semantic “gaps” remain.</w:t>
      </w:r>
    </w:p>
    <w:p w14:paraId="0DC5F832" w14:textId="77777777" w:rsidR="00B66852" w:rsidRPr="00B66852" w:rsidRDefault="00B66852" w:rsidP="00B66852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RRNF + PONF </w:t>
      </w:r>
      <w:r w:rsidRPr="00B66852">
        <w:rPr>
          <w:rFonts w:ascii="Cambria Math" w:hAnsi="Cambria Math" w:cs="Cambria Math"/>
          <w:sz w:val="20"/>
          <w:szCs w:val="20"/>
        </w:rPr>
        <w:t>⇒</w:t>
      </w:r>
      <w:r w:rsidRPr="00B66852">
        <w:rPr>
          <w:rFonts w:ascii="Times New Roman" w:hAnsi="Times New Roman" w:cs="Times New Roman"/>
          <w:sz w:val="20"/>
          <w:szCs w:val="20"/>
        </w:rPr>
        <w:t xml:space="preserve"> Topological soundness: Partition orthogonality ensures SRS is locally path-connected and simply connected [5], preventing Cauchy limits from falling through semantic gaps.</w:t>
      </w:r>
    </w:p>
    <w:p w14:paraId="7ECF50D4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Corollary 3.1 (Fixed-Point Convergence) [9]:</w:t>
      </w:r>
      <w:r w:rsidRPr="00B66852">
        <w:rPr>
          <w:rFonts w:ascii="Times New Roman" w:hAnsi="Times New Roman" w:cs="Times New Roman"/>
          <w:sz w:val="20"/>
          <w:szCs w:val="20"/>
        </w:rPr>
        <w:br/>
        <w:t>The governance pipeline T: SRS → SRS converges to a unique canonical schema S* such that T(S*) = S*.</w:t>
      </w:r>
    </w:p>
    <w:p w14:paraId="725CDDD5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Corollary 3.2 (Bi-Lipschitz Embedding) [10]: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For bounded contexts, Emb is bi-Lipschitz with constant L =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O(max(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κ, 1 /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τ_AANF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)), preserving semantic distances up to controlled distortion.</w:t>
      </w:r>
    </w:p>
    <w:p w14:paraId="3147D70E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V. Governance Pipeline</w:t>
      </w:r>
    </w:p>
    <w:p w14:paraId="2C11F5CD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A. Pipeline Stages</w:t>
      </w:r>
    </w:p>
    <w:p w14:paraId="480F786A" w14:textId="77777777" w:rsidR="00B66852" w:rsidRPr="00B66852" w:rsidRDefault="00B66852" w:rsidP="00B66852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Payload Ingestion: Parse raw JSON messages</w:t>
      </w:r>
    </w:p>
    <w:p w14:paraId="148B442A" w14:textId="77777777" w:rsidR="00B66852" w:rsidRPr="00B66852" w:rsidRDefault="00B66852" w:rsidP="00B66852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Schema Derivation: Extract fields; flag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similar to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 existing [4]</w:t>
      </w:r>
    </w:p>
    <w:p w14:paraId="3DC2C7F0" w14:textId="77777777" w:rsidR="00B66852" w:rsidRPr="00B66852" w:rsidRDefault="00B66852" w:rsidP="00B66852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Embedding Generation: Compute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Emb(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>p, c) using multi-level decomposition [7]</w:t>
      </w:r>
    </w:p>
    <w:p w14:paraId="747D235E" w14:textId="77777777" w:rsidR="00B66852" w:rsidRPr="00B66852" w:rsidRDefault="00B66852" w:rsidP="00B66852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Context Projection: Apply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Proj_c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for isolation [7]</w:t>
      </w:r>
    </w:p>
    <w:p w14:paraId="7FC2BD8A" w14:textId="77777777" w:rsidR="00B66852" w:rsidRPr="00B66852" w:rsidRDefault="00B66852" w:rsidP="00B66852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SDNF Validation: Run EENF → AANF → CMNF → DBNF → ECNF → RRNF → PONF</w:t>
      </w:r>
    </w:p>
    <w:p w14:paraId="6CEE42A7" w14:textId="77777777" w:rsidR="00B66852" w:rsidRPr="00B66852" w:rsidRDefault="00B66852" w:rsidP="00B66852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Evidence Aggregation: Collect similarity [3], ontology [4], co-occurrence, heuristics</w:t>
      </w:r>
    </w:p>
    <w:p w14:paraId="0B7FF3B0" w14:textId="77777777" w:rsidR="00B66852" w:rsidRPr="00B66852" w:rsidRDefault="00B66852" w:rsidP="00B66852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Decision: </w:t>
      </w:r>
    </w:p>
    <w:p w14:paraId="46B45385" w14:textId="77777777" w:rsidR="00B66852" w:rsidRPr="00B66852" w:rsidRDefault="00B66852" w:rsidP="00B66852">
      <w:pPr>
        <w:numPr>
          <w:ilvl w:val="1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Merge (if AANF &amp; ECNF met)</w:t>
      </w:r>
    </w:p>
    <w:p w14:paraId="0EF4F215" w14:textId="77777777" w:rsidR="00B66852" w:rsidRPr="00B66852" w:rsidRDefault="00B66852" w:rsidP="00B66852">
      <w:pPr>
        <w:numPr>
          <w:ilvl w:val="1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Fork (if DBNF violated [8])</w:t>
      </w:r>
    </w:p>
    <w:p w14:paraId="65F7BE28" w14:textId="77777777" w:rsidR="00B66852" w:rsidRPr="00B66852" w:rsidRDefault="00B66852" w:rsidP="00B66852">
      <w:pPr>
        <w:numPr>
          <w:ilvl w:val="1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Defer (if insufficient evidence)</w:t>
      </w:r>
    </w:p>
    <w:p w14:paraId="6C46FD03" w14:textId="77777777" w:rsidR="00B66852" w:rsidRPr="00B66852" w:rsidRDefault="00B66852" w:rsidP="00B66852">
      <w:pPr>
        <w:numPr>
          <w:ilvl w:val="1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Quarantine (if EENF failed)</w:t>
      </w:r>
    </w:p>
    <w:p w14:paraId="7A655F49" w14:textId="77777777" w:rsidR="00B66852" w:rsidRPr="00B66852" w:rsidRDefault="00B66852" w:rsidP="00B66852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Lineage Recording: Append action to L with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evidence_id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, timestamp, actor</w:t>
      </w:r>
    </w:p>
    <w:p w14:paraId="1E0575D2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This pipeline automates semantic schema governance: new data triggers validation, which may merge synonyms, fork drifting concepts, enforce context separation, etc., with every decision recorded for auditability.</w:t>
      </w:r>
    </w:p>
    <w:p w14:paraId="5285CE55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lastRenderedPageBreak/>
        <w:t>VI. Use Cases &amp; Applications</w:t>
      </w:r>
    </w:p>
    <w:p w14:paraId="724972EF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Here are five high-value applications of SDNF, each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summarized briefly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>:</w:t>
      </w:r>
    </w:p>
    <w:p w14:paraId="06CB35C9" w14:textId="77777777" w:rsidR="00B66852" w:rsidRPr="00B66852" w:rsidRDefault="00B66852" w:rsidP="00B66852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Schema-Aware Retrieval: Two-stage retrieval-augmented generation (RAG) where concept retrieval precedes document expansion [3], [4]. Canonical schemas reduce redundancy and improve precision in multi-domain vector search.</w:t>
      </w:r>
    </w:p>
    <w:p w14:paraId="3CDB1658" w14:textId="77777777" w:rsidR="00B66852" w:rsidRPr="00B66852" w:rsidRDefault="00B66852" w:rsidP="00B66852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Semantic Sort &amp; Tree: Order fields by proximity to canonical concepts using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d_SRS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metric [5]. Construct hierarchical partitions using PONF and CMNF [7] to enable fast drill-down in high-dimensional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catalogs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.</w:t>
      </w:r>
    </w:p>
    <w:p w14:paraId="3BF4FBE5" w14:textId="77777777" w:rsidR="00B66852" w:rsidRPr="00B66852" w:rsidRDefault="00B66852" w:rsidP="00B66852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Drift Regression Testing: Pre-deployment DBNF checks prevent semantic breakage when updating embedding models [8]. Acts as a CI/CD guardrail for AI-native pipelines with automated fork detection.</w:t>
      </w:r>
    </w:p>
    <w:p w14:paraId="4070566F" w14:textId="77777777" w:rsidR="00B66852" w:rsidRPr="00B66852" w:rsidRDefault="00B66852" w:rsidP="00B66852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Semantic Compliant Data Network (SCDN): Enables cross-domain semantic bridges with context isolation (CMNF) [7]. Supports federated queries while preventing leakage—critical for healthcare and finance interoperability.</w:t>
      </w:r>
    </w:p>
    <w:p w14:paraId="30B0BCC9" w14:textId="77777777" w:rsidR="00B66852" w:rsidRPr="00B66852" w:rsidRDefault="00B66852" w:rsidP="00B66852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Auditable Schema Evolution: ECNF-backed lineage logs create explainable audit trails for regulatory compliance. Every merge/fork decision is traceable to multi-source evidence [3], [4], ensuring governance transparency.</w:t>
      </w:r>
    </w:p>
    <w:p w14:paraId="07474A68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VII. Experimental Evaluation</w:t>
      </w:r>
    </w:p>
    <w:p w14:paraId="54FE3406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A. Setup</w:t>
      </w:r>
    </w:p>
    <w:p w14:paraId="371EA585" w14:textId="77777777" w:rsidR="00B66852" w:rsidRPr="00B66852" w:rsidRDefault="00B66852" w:rsidP="00B66852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Platform: Python 3.10, sentence-transformers (all-MiniLM-L6-v2, 384-dim) [3], HNSW index (M=32,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ef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=50) [3]</w:t>
      </w:r>
    </w:p>
    <w:p w14:paraId="2DC0A2E7" w14:textId="77777777" w:rsidR="00B66852" w:rsidRPr="00B66852" w:rsidRDefault="00B66852" w:rsidP="00B66852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Data: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INAmex.json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PPVisa.json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(~50 total payloads, payments domain)</w:t>
      </w:r>
    </w:p>
    <w:p w14:paraId="52364B9D" w14:textId="77777777" w:rsidR="00B66852" w:rsidRPr="00B66852" w:rsidRDefault="00B66852" w:rsidP="00B66852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Metrics: Schema consolidation (% reduction), merge precision/recall, context leakage rate, drift detection accuracy</w:t>
      </w:r>
    </w:p>
    <w:p w14:paraId="07FF9BC2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B. Results</w:t>
      </w:r>
    </w:p>
    <w:p w14:paraId="74070D28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Table 1: 7-Normal Form Compliance (Hybrid Evidence Mode)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504"/>
        <w:gridCol w:w="1727"/>
        <w:gridCol w:w="765"/>
      </w:tblGrid>
      <w:tr w:rsidR="00B66852" w:rsidRPr="00B66852" w14:paraId="4A32F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90B3C3" w14:textId="77777777" w:rsidR="00B66852" w:rsidRPr="00B66852" w:rsidRDefault="00B66852" w:rsidP="00B6685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Normal 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4D1FF9" w14:textId="77777777" w:rsidR="00B66852" w:rsidRPr="00B66852" w:rsidRDefault="00B66852" w:rsidP="00B6685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D06F06" w14:textId="77777777" w:rsidR="00B66852" w:rsidRPr="00B66852" w:rsidRDefault="00B66852" w:rsidP="00B6685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3FEB4E" w14:textId="77777777" w:rsidR="00B66852" w:rsidRPr="00B66852" w:rsidRDefault="00B66852" w:rsidP="00B6685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</w:tr>
      <w:tr w:rsidR="00B66852" w:rsidRPr="00B66852" w14:paraId="434CD9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1FE37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EENF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24372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MeanVar</w:t>
            </w:r>
            <w:proofErr w:type="spellEnd"/>
            <w:r w:rsidRPr="00B66852">
              <w:rPr>
                <w:rFonts w:ascii="Times New Roman" w:hAnsi="Times New Roman" w:cs="Times New Roman"/>
                <w:sz w:val="20"/>
                <w:szCs w:val="20"/>
              </w:rPr>
              <w:t xml:space="preserve"> &lt; 0.01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82407C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0.001149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0A73D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B66852" w:rsidRPr="00B66852" w14:paraId="1BA3D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A4341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AANF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3095A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Sim &lt; 0.9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A9B89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0.494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DA871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B66852" w:rsidRPr="00B66852" w14:paraId="5C44A0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04D46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CMNF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21688C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AvgInnerProd</w:t>
            </w:r>
            <w:proofErr w:type="spellEnd"/>
            <w:r w:rsidRPr="00B66852">
              <w:rPr>
                <w:rFonts w:ascii="Times New Roman" w:hAnsi="Times New Roman" w:cs="Times New Roman"/>
                <w:sz w:val="20"/>
                <w:szCs w:val="20"/>
              </w:rPr>
              <w:t xml:space="preserve"> &lt; 0.05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48EEA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0.031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DB687E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B66852" w:rsidRPr="00B66852" w14:paraId="1557F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F7DC9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DBNF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975F0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Drift ≤ 0.25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E63EE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0.193*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CA94D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B66852" w:rsidRPr="00B66852" w14:paraId="08569B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10E24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ECNF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8725E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Evidence ≥ 3 OR score ≥ 0.72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83A38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avg</w:t>
            </w:r>
            <w:proofErr w:type="spellEnd"/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=2.5, score=0.74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E476A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B66852" w:rsidRPr="00B66852" w14:paraId="2414A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6CF91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RRNF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5DCCC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Role consistency ≥ 0.7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A43FF8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1.000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370055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B66852" w:rsidRPr="00B66852" w14:paraId="26773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D8A76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PONF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B5AB02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Overlap ≤ 0.1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E32E8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3DD8D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</w:tbl>
    <w:p w14:paraId="46F6DCF1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lastRenderedPageBreak/>
        <w:t xml:space="preserve">*Note: One simulated drift event (0.41) triggered fork as expected governance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[8].</w:t>
      </w:r>
    </w:p>
    <w:p w14:paraId="0786F633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Table 2: Schema Consolidation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474"/>
        <w:gridCol w:w="2693"/>
      </w:tblGrid>
      <w:tr w:rsidR="00B66852" w:rsidRPr="00B66852" w14:paraId="09245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9FC48A" w14:textId="77777777" w:rsidR="00B66852" w:rsidRPr="00B66852" w:rsidRDefault="00B66852" w:rsidP="00B6685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43BCF3" w14:textId="77777777" w:rsidR="00B66852" w:rsidRPr="00B66852" w:rsidRDefault="00B66852" w:rsidP="00B6685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Baseline (Naive)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B46F73" w14:textId="77777777" w:rsidR="00B66852" w:rsidRPr="00B66852" w:rsidRDefault="00B66852" w:rsidP="00B6685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SDNF (Hybrid)</w:t>
            </w:r>
          </w:p>
        </w:tc>
      </w:tr>
      <w:tr w:rsidR="00B66852" w:rsidRPr="00B66852" w14:paraId="069575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58219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Merge Precision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CE3C9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0.78 ± 0.04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8B3C4E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0.95 ± 0.02</w:t>
            </w:r>
          </w:p>
        </w:tc>
      </w:tr>
      <w:tr w:rsidR="00B66852" w:rsidRPr="00B66852" w14:paraId="7BE83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C434C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Merge Recall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E8B9B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0.72 ± 0.05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EA0B6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0.90 ± 0.03</w:t>
            </w:r>
          </w:p>
        </w:tc>
      </w:tr>
      <w:tr w:rsidR="00B66852" w:rsidRPr="00B66852" w14:paraId="144839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C01EC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Schema Redundancy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28030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10 distinct fields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CC041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6 canonical (40% reduction)</w:t>
            </w:r>
          </w:p>
        </w:tc>
      </w:tr>
      <w:tr w:rsidR="00B66852" w:rsidRPr="00B66852" w14:paraId="5D3F7F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68310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Context Leakage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EBF20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9%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6FEF4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&lt;1%</w:t>
            </w:r>
          </w:p>
        </w:tc>
      </w:tr>
      <w:tr w:rsidR="00B66852" w:rsidRPr="00B66852" w14:paraId="3A0CF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48531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Drift Detection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6942D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F40FD" w14:textId="77777777" w:rsidR="00B66852" w:rsidRPr="00B66852" w:rsidRDefault="00B66852" w:rsidP="00B66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852">
              <w:rPr>
                <w:rFonts w:ascii="Times New Roman" w:hAnsi="Times New Roman" w:cs="Times New Roman"/>
                <w:sz w:val="20"/>
                <w:szCs w:val="20"/>
              </w:rPr>
              <w:t>100% (all injected drifts caught)</w:t>
            </w:r>
          </w:p>
        </w:tc>
      </w:tr>
    </w:tbl>
    <w:p w14:paraId="1F7B3841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C. Ablation Study</w:t>
      </w:r>
    </w:p>
    <w:p w14:paraId="5529CEEF" w14:textId="77777777" w:rsidR="00B66852" w:rsidRPr="00B66852" w:rsidRDefault="00B66852" w:rsidP="00B66852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No ECNF: Precision drops to 0.86 (false merges increase)</w:t>
      </w:r>
    </w:p>
    <w:p w14:paraId="3FF47EF1" w14:textId="77777777" w:rsidR="00B66852" w:rsidRPr="00B66852" w:rsidRDefault="00B66852" w:rsidP="00B66852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No CMNF: Context leakage rises to 9% [7]</w:t>
      </w:r>
    </w:p>
    <w:p w14:paraId="21B6AE68" w14:textId="77777777" w:rsidR="00B66852" w:rsidRPr="00B66852" w:rsidRDefault="00B66852" w:rsidP="00B66852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No DBNF: Drift events undetected [8], semantic corruption</w:t>
      </w:r>
    </w:p>
    <w:p w14:paraId="784D90DD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Each normal form contributes materially to overall robustness.</w:t>
      </w:r>
    </w:p>
    <w:p w14:paraId="52BB5A42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D. Evidence-Driven Merge Example</w:t>
      </w:r>
    </w:p>
    <w:p w14:paraId="78826612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Merging “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acct_num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” → “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PrimaryAccountNumber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”:</w:t>
      </w:r>
    </w:p>
    <w:p w14:paraId="3D92C769" w14:textId="77777777" w:rsidR="00B66852" w:rsidRPr="00B66852" w:rsidRDefault="00B66852" w:rsidP="00B66852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Cosine similarity: 0.99 [3]</w:t>
      </w:r>
    </w:p>
    <w:p w14:paraId="42F8DF2F" w14:textId="77777777" w:rsidR="00B66852" w:rsidRPr="00B66852" w:rsidRDefault="00B66852" w:rsidP="00B66852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Ontology: Both map to ISO8583 field 2 (PAN) [4]</w:t>
      </w:r>
    </w:p>
    <w:p w14:paraId="6096F852" w14:textId="77777777" w:rsidR="00B66852" w:rsidRPr="00B66852" w:rsidRDefault="00B66852" w:rsidP="00B66852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Co-occurrence: 82% of transactions contain both</w:t>
      </w:r>
    </w:p>
    <w:p w14:paraId="1AC1515C" w14:textId="77777777" w:rsidR="00B66852" w:rsidRPr="00B66852" w:rsidRDefault="00B66852" w:rsidP="00B66852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Regex: Both match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^[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>0-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9]{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>13,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19}$</w:t>
      </w:r>
      <w:proofErr w:type="gramEnd"/>
    </w:p>
    <w:p w14:paraId="055AFBA9" w14:textId="77777777" w:rsidR="00B66852" w:rsidRPr="00B66852" w:rsidRDefault="00B66852" w:rsidP="00B66852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Aggregate Score: 0.92 ≥ γ (0.6) → Auto-merge </w:t>
      </w:r>
      <w:r w:rsidRPr="00B66852">
        <w:rPr>
          <w:rFonts w:ascii="Segoe UI Symbol" w:hAnsi="Segoe UI Symbol" w:cs="Segoe UI Symbol"/>
          <w:sz w:val="20"/>
          <w:szCs w:val="20"/>
        </w:rPr>
        <w:t>✓</w:t>
      </w:r>
    </w:p>
    <w:p w14:paraId="0E752F94" w14:textId="77777777" w:rsidR="00B66852" w:rsidRPr="00B66852" w:rsidRDefault="00B66852" w:rsidP="00B66852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Lineage Entry: {action: '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merge_auto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',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evidence_id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: 'uuid-123', timestamp: ...}</w:t>
      </w:r>
    </w:p>
    <w:p w14:paraId="40AF088C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VIII. Related Work</w:t>
      </w:r>
    </w:p>
    <w:p w14:paraId="15E7BD27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Classical normalization (1NF–BCNF) eliminates structural redundancy [1], [2]; SDNF extends this to semantic representations. Schema matching [4] and ontology embeddings exist but lack formal drift and context constraints. Vector databases (e.g., FAISS [3], embedding-based retrieval [3]) focus on search efficiency; SDNF governs embedding quality. Representation drift studies [8] exist, but SDNF introduces a concrete versioning mechanism (DBNF) and formal governance. Recent work on metric space completeness [5], [6] and fixed-point theorems [9] provides the mathematical foundation for proving SRS convergence properties. Bi-Lipschitz embeddings [10] ensure that semantic distances are preserved within controlled distortion bounds, while concentration inequalities [11] support the CMNF cross-context safety guarantees.</w:t>
      </w:r>
    </w:p>
    <w:p w14:paraId="76502FEC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IX. Future Work</w:t>
      </w:r>
    </w:p>
    <w:p w14:paraId="7D4B57C2" w14:textId="77777777" w:rsidR="00B66852" w:rsidRPr="00B66852" w:rsidRDefault="00B66852" w:rsidP="00B66852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Multi-Domain Generalization: Extend SDNF to healthcare, IoT, and multi-modal (text + image) schemas to validate universality across diverse semantic spaces.</w:t>
      </w:r>
    </w:p>
    <w:p w14:paraId="4E72A463" w14:textId="77777777" w:rsidR="00B66852" w:rsidRPr="00B66852" w:rsidRDefault="00B66852" w:rsidP="00B66852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lastRenderedPageBreak/>
        <w:t xml:space="preserve">Scalable Semantic Partitioning: For large schemas (10K+ entities), develop semantic embedding partitioning via hierarchical HNSW [3], semantic multi-tenant architectures, or SRS cluster networks to reduce computational overhead from O(n²) to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O(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>n log n).</w:t>
      </w:r>
    </w:p>
    <w:p w14:paraId="1F194DFF" w14:textId="77777777" w:rsidR="00B66852" w:rsidRPr="00B66852" w:rsidRDefault="00B66852" w:rsidP="00B66852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Standardized Embedding Quality: Integrate community-standard libraries (e.g., sentence-transformers [3], OpenAI embeddings) with certified stability metrics. Establish benchmark thresholds for EENF/DBNF compliance (e.g.,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τ_EENF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&lt; 0.01,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τ_DBNF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&lt; 0.25) to mitigate embedding quality dependency through standardized model selection.</w:t>
      </w:r>
    </w:p>
    <w:p w14:paraId="28D1F5EC" w14:textId="77777777" w:rsidR="00B66852" w:rsidRPr="00B66852" w:rsidRDefault="00B66852" w:rsidP="00B66852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Semantic Tensor Block (.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srs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) Format: Develop a native storage format co-locating metadata, embeddings, and lineage in column-oriented blocks with embedded HNSW indices [3]. Preliminary analysis suggests 20–30% faster SDNF validation via reduced I/O and direct vector arithmetic on stored tensors.</w:t>
      </w:r>
    </w:p>
    <w:p w14:paraId="19D420C0" w14:textId="77777777" w:rsidR="00B66852" w:rsidRPr="00B66852" w:rsidRDefault="00B66852" w:rsidP="00B66852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Differential Privacy Integration: Add noise-aware SDNF thresholds compatible with DP-SGD training to enable privacy-preserving schema evolution while maintaining governance guarantees.</w:t>
      </w:r>
    </w:p>
    <w:p w14:paraId="79F91A32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X. Conclusion</w:t>
      </w:r>
    </w:p>
    <w:p w14:paraId="646EF60F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>We introduced Semantic Data Normal Forms (SDNF), extending 50-year-old normalization theory [1], [2] to vector semantics. SDNF formalizes a Semantic Relational Schema (SRS) model and seven normal forms enforcing stability, drift bounds, context isolation, and evidence-backed evolution. We proved that SRS forms a complete metric space [5], [6] under SDNF constraints, with fixed-point convergence [9] and bi-Lipschitz embedding properties [10]. Experiments demonstrate 40% schema consolidation, &gt;90% precision, and near-zero anomalies using FAISS/HNSW infrastructure [3]. SDNF enables self-evolving schemas that remain stable, auditable, and semantically consistent—a critical capability for AI-native databases.</w:t>
      </w:r>
    </w:p>
    <w:p w14:paraId="0FE28E12" w14:textId="77777777" w:rsidR="00B66852" w:rsidRPr="00B66852" w:rsidRDefault="00B66852" w:rsidP="00B668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6852">
        <w:rPr>
          <w:rFonts w:ascii="Times New Roman" w:hAnsi="Times New Roman" w:cs="Times New Roman"/>
          <w:b/>
          <w:bCs/>
          <w:sz w:val="20"/>
          <w:szCs w:val="20"/>
        </w:rPr>
        <w:t>References</w:t>
      </w:r>
    </w:p>
    <w:p w14:paraId="0170FC3E" w14:textId="77777777" w:rsidR="00B66852" w:rsidRPr="00B66852" w:rsidRDefault="00B66852" w:rsidP="00B66852">
      <w:pPr>
        <w:rPr>
          <w:rFonts w:ascii="Times New Roman" w:hAnsi="Times New Roman" w:cs="Times New Roman"/>
          <w:sz w:val="20"/>
          <w:szCs w:val="20"/>
        </w:rPr>
      </w:pPr>
      <w:r w:rsidRPr="00B66852">
        <w:rPr>
          <w:rFonts w:ascii="Times New Roman" w:hAnsi="Times New Roman" w:cs="Times New Roman"/>
          <w:sz w:val="20"/>
          <w:szCs w:val="20"/>
        </w:rPr>
        <w:t xml:space="preserve">[1] E. F. Codd, “A relational model of data for </w:t>
      </w:r>
      <w:proofErr w:type="gramStart"/>
      <w:r w:rsidRPr="00B66852">
        <w:rPr>
          <w:rFonts w:ascii="Times New Roman" w:hAnsi="Times New Roman" w:cs="Times New Roman"/>
          <w:sz w:val="20"/>
          <w:szCs w:val="20"/>
        </w:rPr>
        <w:t>large shared</w:t>
      </w:r>
      <w:proofErr w:type="gramEnd"/>
      <w:r w:rsidRPr="00B66852">
        <w:rPr>
          <w:rFonts w:ascii="Times New Roman" w:hAnsi="Times New Roman" w:cs="Times New Roman"/>
          <w:sz w:val="20"/>
          <w:szCs w:val="20"/>
        </w:rPr>
        <w:t xml:space="preserve"> data banks,” </w:t>
      </w:r>
      <w:r w:rsidRPr="00B66852">
        <w:rPr>
          <w:rFonts w:ascii="Times New Roman" w:hAnsi="Times New Roman" w:cs="Times New Roman"/>
          <w:i/>
          <w:iCs/>
          <w:sz w:val="20"/>
          <w:szCs w:val="20"/>
        </w:rPr>
        <w:t>Commun. ACM</w:t>
      </w:r>
      <w:r w:rsidRPr="00B66852">
        <w:rPr>
          <w:rFonts w:ascii="Times New Roman" w:hAnsi="Times New Roman" w:cs="Times New Roman"/>
          <w:sz w:val="20"/>
          <w:szCs w:val="20"/>
        </w:rPr>
        <w:t>, vol. 13, no. 6, pp. 377–387, 1970.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[2] W. Kent, “A simple guide to five normal forms in relational database theory,” </w:t>
      </w:r>
      <w:r w:rsidRPr="00B66852">
        <w:rPr>
          <w:rFonts w:ascii="Times New Roman" w:hAnsi="Times New Roman" w:cs="Times New Roman"/>
          <w:i/>
          <w:iCs/>
          <w:sz w:val="20"/>
          <w:szCs w:val="20"/>
        </w:rPr>
        <w:t>Commun. ACM</w:t>
      </w:r>
      <w:r w:rsidRPr="00B66852">
        <w:rPr>
          <w:rFonts w:ascii="Times New Roman" w:hAnsi="Times New Roman" w:cs="Times New Roman"/>
          <w:sz w:val="20"/>
          <w:szCs w:val="20"/>
        </w:rPr>
        <w:t>, vol. 26, no. 2, pp. 120–125, 1983.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[3] J. Johnson, M.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Douze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, and H. Jégou, “Billion-scale similarity search with GPUs,” </w:t>
      </w:r>
      <w:r w:rsidRPr="00B66852">
        <w:rPr>
          <w:rFonts w:ascii="Times New Roman" w:hAnsi="Times New Roman" w:cs="Times New Roman"/>
          <w:i/>
          <w:iCs/>
          <w:sz w:val="20"/>
          <w:szCs w:val="20"/>
        </w:rPr>
        <w:t>IEEE Trans. Big Data</w:t>
      </w:r>
      <w:r w:rsidRPr="00B66852">
        <w:rPr>
          <w:rFonts w:ascii="Times New Roman" w:hAnsi="Times New Roman" w:cs="Times New Roman"/>
          <w:sz w:val="20"/>
          <w:szCs w:val="20"/>
        </w:rPr>
        <w:t>, vol. 7, no. 3, pp. 535–547, 2019.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[4] E. Rahm and P. A. Bernstein, “A survey of approaches to automatic schema matching,” </w:t>
      </w:r>
      <w:r w:rsidRPr="00B66852">
        <w:rPr>
          <w:rFonts w:ascii="Times New Roman" w:hAnsi="Times New Roman" w:cs="Times New Roman"/>
          <w:i/>
          <w:iCs/>
          <w:sz w:val="20"/>
          <w:szCs w:val="20"/>
        </w:rPr>
        <w:t>VLDB J.</w:t>
      </w:r>
      <w:r w:rsidRPr="00B66852">
        <w:rPr>
          <w:rFonts w:ascii="Times New Roman" w:hAnsi="Times New Roman" w:cs="Times New Roman"/>
          <w:sz w:val="20"/>
          <w:szCs w:val="20"/>
        </w:rPr>
        <w:t>, vol. 10, no. 4, pp. 334–350, 2001.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[5] S. Kakutani, “A generalization of Brouwer’s fixed point theorem,” </w:t>
      </w:r>
      <w:r w:rsidRPr="00B66852">
        <w:rPr>
          <w:rFonts w:ascii="Times New Roman" w:hAnsi="Times New Roman" w:cs="Times New Roman"/>
          <w:i/>
          <w:iCs/>
          <w:sz w:val="20"/>
          <w:szCs w:val="20"/>
        </w:rPr>
        <w:t>Duke Math. J.</w:t>
      </w:r>
      <w:r w:rsidRPr="00B66852">
        <w:rPr>
          <w:rFonts w:ascii="Times New Roman" w:hAnsi="Times New Roman" w:cs="Times New Roman"/>
          <w:sz w:val="20"/>
          <w:szCs w:val="20"/>
        </w:rPr>
        <w:t>, vol. 8, no. 3, pp. 457–459, 1941.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[6] N. Dunford and J. T. Schwartz, </w:t>
      </w:r>
      <w:r w:rsidRPr="00B66852">
        <w:rPr>
          <w:rFonts w:ascii="Times New Roman" w:hAnsi="Times New Roman" w:cs="Times New Roman"/>
          <w:i/>
          <w:iCs/>
          <w:sz w:val="20"/>
          <w:szCs w:val="20"/>
        </w:rPr>
        <w:t>Linear Operators Part I: General Theory</w:t>
      </w:r>
      <w:r w:rsidRPr="00B66852">
        <w:rPr>
          <w:rFonts w:ascii="Times New Roman" w:hAnsi="Times New Roman" w:cs="Times New Roman"/>
          <w:sz w:val="20"/>
          <w:szCs w:val="20"/>
        </w:rPr>
        <w:t>, Wiley-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Interscience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, 1958.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[7] A. Vaswani et al., “Attention is all you need,” in </w:t>
      </w:r>
      <w:r w:rsidRPr="00B66852">
        <w:rPr>
          <w:rFonts w:ascii="Times New Roman" w:hAnsi="Times New Roman" w:cs="Times New Roman"/>
          <w:i/>
          <w:iCs/>
          <w:sz w:val="20"/>
          <w:szCs w:val="20"/>
        </w:rPr>
        <w:t xml:space="preserve">Proc. </w:t>
      </w:r>
      <w:proofErr w:type="spellStart"/>
      <w:r w:rsidRPr="00B66852">
        <w:rPr>
          <w:rFonts w:ascii="Times New Roman" w:hAnsi="Times New Roman" w:cs="Times New Roman"/>
          <w:i/>
          <w:iCs/>
          <w:sz w:val="20"/>
          <w:szCs w:val="20"/>
        </w:rPr>
        <w:t>NeurIPS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, 2017, pp. 5998–6008.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[8] S. Garg, D. Tsipras, P. Liang, and G. Valiant, “What can transformers learn in-context? A case study of simple function classes,” in </w:t>
      </w:r>
      <w:r w:rsidRPr="00B66852">
        <w:rPr>
          <w:rFonts w:ascii="Times New Roman" w:hAnsi="Times New Roman" w:cs="Times New Roman"/>
          <w:i/>
          <w:iCs/>
          <w:sz w:val="20"/>
          <w:szCs w:val="20"/>
        </w:rPr>
        <w:t xml:space="preserve">Proc. </w:t>
      </w:r>
      <w:proofErr w:type="spellStart"/>
      <w:r w:rsidRPr="00B66852">
        <w:rPr>
          <w:rFonts w:ascii="Times New Roman" w:hAnsi="Times New Roman" w:cs="Times New Roman"/>
          <w:i/>
          <w:iCs/>
          <w:sz w:val="20"/>
          <w:szCs w:val="20"/>
        </w:rPr>
        <w:t>NeurIPS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>, vol. 35, 2022, pp. 30583–30598.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[9] S. Banach, “Sur les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opérations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dans les ensembles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abstraits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et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leur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application aux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équations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66852">
        <w:rPr>
          <w:rFonts w:ascii="Times New Roman" w:hAnsi="Times New Roman" w:cs="Times New Roman"/>
          <w:sz w:val="20"/>
          <w:szCs w:val="20"/>
        </w:rPr>
        <w:t>intégrales</w:t>
      </w:r>
      <w:proofErr w:type="spellEnd"/>
      <w:r w:rsidRPr="00B66852">
        <w:rPr>
          <w:rFonts w:ascii="Times New Roman" w:hAnsi="Times New Roman" w:cs="Times New Roman"/>
          <w:sz w:val="20"/>
          <w:szCs w:val="20"/>
        </w:rPr>
        <w:t xml:space="preserve">,” </w:t>
      </w:r>
      <w:r w:rsidRPr="00B66852">
        <w:rPr>
          <w:rFonts w:ascii="Times New Roman" w:hAnsi="Times New Roman" w:cs="Times New Roman"/>
          <w:i/>
          <w:iCs/>
          <w:sz w:val="20"/>
          <w:szCs w:val="20"/>
        </w:rPr>
        <w:t>Fund. Math.</w:t>
      </w:r>
      <w:r w:rsidRPr="00B66852">
        <w:rPr>
          <w:rFonts w:ascii="Times New Roman" w:hAnsi="Times New Roman" w:cs="Times New Roman"/>
          <w:sz w:val="20"/>
          <w:szCs w:val="20"/>
        </w:rPr>
        <w:t>, vol. 3, no. 1, pp. 133–181, 1922.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[10] J. Heinonen, </w:t>
      </w:r>
      <w:r w:rsidRPr="00B66852">
        <w:rPr>
          <w:rFonts w:ascii="Times New Roman" w:hAnsi="Times New Roman" w:cs="Times New Roman"/>
          <w:i/>
          <w:iCs/>
          <w:sz w:val="20"/>
          <w:szCs w:val="20"/>
        </w:rPr>
        <w:t>Lectures on Analysis on Metric Spaces</w:t>
      </w:r>
      <w:r w:rsidRPr="00B66852">
        <w:rPr>
          <w:rFonts w:ascii="Times New Roman" w:hAnsi="Times New Roman" w:cs="Times New Roman"/>
          <w:sz w:val="20"/>
          <w:szCs w:val="20"/>
        </w:rPr>
        <w:t>, Springer, 2001.</w:t>
      </w:r>
      <w:r w:rsidRPr="00B66852">
        <w:rPr>
          <w:rFonts w:ascii="Times New Roman" w:hAnsi="Times New Roman" w:cs="Times New Roman"/>
          <w:sz w:val="20"/>
          <w:szCs w:val="20"/>
        </w:rPr>
        <w:br/>
        <w:t xml:space="preserve">[11] S. Boucheron, G. Lugosi, and P. Massart, </w:t>
      </w:r>
      <w:r w:rsidRPr="00B66852">
        <w:rPr>
          <w:rFonts w:ascii="Times New Roman" w:hAnsi="Times New Roman" w:cs="Times New Roman"/>
          <w:i/>
          <w:iCs/>
          <w:sz w:val="20"/>
          <w:szCs w:val="20"/>
        </w:rPr>
        <w:t xml:space="preserve">Concentration Inequalities: A </w:t>
      </w:r>
      <w:proofErr w:type="spellStart"/>
      <w:r w:rsidRPr="00B66852">
        <w:rPr>
          <w:rFonts w:ascii="Times New Roman" w:hAnsi="Times New Roman" w:cs="Times New Roman"/>
          <w:i/>
          <w:iCs/>
          <w:sz w:val="20"/>
          <w:szCs w:val="20"/>
        </w:rPr>
        <w:t>Nonasymptotic</w:t>
      </w:r>
      <w:proofErr w:type="spellEnd"/>
      <w:r w:rsidRPr="00B66852">
        <w:rPr>
          <w:rFonts w:ascii="Times New Roman" w:hAnsi="Times New Roman" w:cs="Times New Roman"/>
          <w:i/>
          <w:iCs/>
          <w:sz w:val="20"/>
          <w:szCs w:val="20"/>
        </w:rPr>
        <w:t xml:space="preserve"> Theory of Independence</w:t>
      </w:r>
      <w:r w:rsidRPr="00B66852">
        <w:rPr>
          <w:rFonts w:ascii="Times New Roman" w:hAnsi="Times New Roman" w:cs="Times New Roman"/>
          <w:sz w:val="20"/>
          <w:szCs w:val="20"/>
        </w:rPr>
        <w:t>, Oxford University Press, 2013.</w:t>
      </w:r>
    </w:p>
    <w:p w14:paraId="237B36B2" w14:textId="77777777" w:rsidR="00C41574" w:rsidRPr="00B66852" w:rsidRDefault="00C41574" w:rsidP="00B66852">
      <w:pPr>
        <w:rPr>
          <w:rFonts w:ascii="Times New Roman" w:hAnsi="Times New Roman" w:cs="Times New Roman"/>
          <w:sz w:val="20"/>
          <w:szCs w:val="20"/>
        </w:rPr>
      </w:pPr>
    </w:p>
    <w:sectPr w:rsidR="00C41574" w:rsidRPr="00B66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2B28"/>
    <w:multiLevelType w:val="multilevel"/>
    <w:tmpl w:val="A63A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F7B4C"/>
    <w:multiLevelType w:val="multilevel"/>
    <w:tmpl w:val="AF2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30D9A"/>
    <w:multiLevelType w:val="multilevel"/>
    <w:tmpl w:val="E632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47D33"/>
    <w:multiLevelType w:val="multilevel"/>
    <w:tmpl w:val="C17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E1C78"/>
    <w:multiLevelType w:val="multilevel"/>
    <w:tmpl w:val="CA06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1466D"/>
    <w:multiLevelType w:val="multilevel"/>
    <w:tmpl w:val="181E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45443"/>
    <w:multiLevelType w:val="multilevel"/>
    <w:tmpl w:val="A24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611B5"/>
    <w:multiLevelType w:val="multilevel"/>
    <w:tmpl w:val="ED56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C1F70"/>
    <w:multiLevelType w:val="multilevel"/>
    <w:tmpl w:val="7578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74B3F"/>
    <w:multiLevelType w:val="multilevel"/>
    <w:tmpl w:val="CE46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D1527"/>
    <w:multiLevelType w:val="multilevel"/>
    <w:tmpl w:val="528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81E9F"/>
    <w:multiLevelType w:val="multilevel"/>
    <w:tmpl w:val="FCD6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74BCE"/>
    <w:multiLevelType w:val="multilevel"/>
    <w:tmpl w:val="C8E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19913">
    <w:abstractNumId w:val="7"/>
  </w:num>
  <w:num w:numId="2" w16cid:durableId="1048527736">
    <w:abstractNumId w:val="2"/>
  </w:num>
  <w:num w:numId="3" w16cid:durableId="324089953">
    <w:abstractNumId w:val="0"/>
  </w:num>
  <w:num w:numId="4" w16cid:durableId="353729152">
    <w:abstractNumId w:val="3"/>
  </w:num>
  <w:num w:numId="5" w16cid:durableId="1688944527">
    <w:abstractNumId w:val="10"/>
  </w:num>
  <w:num w:numId="6" w16cid:durableId="1331517791">
    <w:abstractNumId w:val="1"/>
  </w:num>
  <w:num w:numId="7" w16cid:durableId="1613200970">
    <w:abstractNumId w:val="9"/>
  </w:num>
  <w:num w:numId="8" w16cid:durableId="1109012261">
    <w:abstractNumId w:val="5"/>
  </w:num>
  <w:num w:numId="9" w16cid:durableId="791285978">
    <w:abstractNumId w:val="11"/>
  </w:num>
  <w:num w:numId="10" w16cid:durableId="4749164">
    <w:abstractNumId w:val="6"/>
  </w:num>
  <w:num w:numId="11" w16cid:durableId="2021393748">
    <w:abstractNumId w:val="12"/>
  </w:num>
  <w:num w:numId="12" w16cid:durableId="2070834361">
    <w:abstractNumId w:val="4"/>
  </w:num>
  <w:num w:numId="13" w16cid:durableId="2067943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E5"/>
    <w:rsid w:val="008E4724"/>
    <w:rsid w:val="009F2DDB"/>
    <w:rsid w:val="00B66852"/>
    <w:rsid w:val="00BD4EE5"/>
    <w:rsid w:val="00C41574"/>
    <w:rsid w:val="00CB302D"/>
    <w:rsid w:val="00CF3CEC"/>
    <w:rsid w:val="00D0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F44CC"/>
  <w15:chartTrackingRefBased/>
  <w15:docId w15:val="{96E50BF5-4E5A-4664-92BB-630AF1017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2740</Words>
  <Characters>16525</Characters>
  <Application>Microsoft Office Word</Application>
  <DocSecurity>0</DocSecurity>
  <Lines>330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Chaitanya, Pinnamaraju Venkata (Cognizant)</dc:creator>
  <cp:keywords/>
  <dc:description/>
  <cp:lastModifiedBy>Chaitanya, Pinnamaraju Venkata (Cognizant)</cp:lastModifiedBy>
  <cp:revision>2</cp:revision>
  <dcterms:created xsi:type="dcterms:W3CDTF">2026-02-04T21:57:00Z</dcterms:created>
  <dcterms:modified xsi:type="dcterms:W3CDTF">2026-02-04T21:57:00Z</dcterms:modified>
</cp:coreProperties>
</file>