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9600"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Semantic Data Normal Forms: Extending Normalization Theory to Vector Embedding Spaces</w:t>
      </w:r>
    </w:p>
    <w:p w14:paraId="1F844C3A"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Abstract</w:t>
      </w:r>
    </w:p>
    <w:p w14:paraId="316D18D3"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AI</w:t>
      </w:r>
      <w:r w:rsidRPr="00384F1F">
        <w:rPr>
          <w:rFonts w:ascii="Times New Roman" w:hAnsi="Times New Roman" w:cs="Times New Roman"/>
          <w:sz w:val="20"/>
          <w:szCs w:val="20"/>
        </w:rPr>
        <w:noBreakHyphen/>
        <w:t xml:space="preserve">native data systems encode schema meaning with vector embeddings, creating integrity challenges: stochastic instability, semantic drift, and context mixing. We introduce </w:t>
      </w:r>
      <w:r w:rsidRPr="00384F1F">
        <w:rPr>
          <w:rFonts w:ascii="Times New Roman" w:hAnsi="Times New Roman" w:cs="Times New Roman"/>
          <w:b/>
          <w:bCs/>
          <w:sz w:val="20"/>
          <w:szCs w:val="20"/>
        </w:rPr>
        <w:t>Semantic Data Normal Forms (SDNF)</w:t>
      </w:r>
      <w:r w:rsidRPr="00384F1F">
        <w:rPr>
          <w:rFonts w:ascii="Times New Roman" w:hAnsi="Times New Roman" w:cs="Times New Roman"/>
          <w:sz w:val="20"/>
          <w:szCs w:val="20"/>
        </w:rPr>
        <w:t xml:space="preserve">, a framework that extends classical normalization to embedding spaces via a </w:t>
      </w:r>
      <w:r w:rsidRPr="00384F1F">
        <w:rPr>
          <w:rFonts w:ascii="Times New Roman" w:hAnsi="Times New Roman" w:cs="Times New Roman"/>
          <w:b/>
          <w:bCs/>
          <w:sz w:val="20"/>
          <w:szCs w:val="20"/>
        </w:rPr>
        <w:t>Semantic Relational Schema (SRS)</w:t>
      </w:r>
      <w:r w:rsidRPr="00384F1F">
        <w:rPr>
          <w:rFonts w:ascii="Times New Roman" w:hAnsi="Times New Roman" w:cs="Times New Roman"/>
          <w:sz w:val="20"/>
          <w:szCs w:val="20"/>
        </w:rPr>
        <w:t xml:space="preserve"> and seven normal forms enforcing stability, alias resolution, context isolation, drift bounds, evidence completeness, role consistency, and partition orthogonality. Under explicit assumptions we present a conditional cross</w:t>
      </w:r>
      <w:r w:rsidRPr="00384F1F">
        <w:rPr>
          <w:rFonts w:ascii="Times New Roman" w:hAnsi="Times New Roman" w:cs="Times New Roman"/>
          <w:sz w:val="20"/>
          <w:szCs w:val="20"/>
        </w:rPr>
        <w:noBreakHyphen/>
        <w:t>context safety result and a governance descent argument that supports schema convergence in practice. A compact governance pipeline implements SDNF with evidence aggregation and lineage. Experiments on payments payloads demonstrate ~35–40% schema consolidation, high merge precision, and low measured context leakage under the evaluated settings. SDNF provides an auditable, evidence</w:t>
      </w:r>
      <w:r w:rsidRPr="00384F1F">
        <w:rPr>
          <w:rFonts w:ascii="Times New Roman" w:hAnsi="Times New Roman" w:cs="Times New Roman"/>
          <w:sz w:val="20"/>
          <w:szCs w:val="20"/>
        </w:rPr>
        <w:noBreakHyphen/>
        <w:t>driven approach to schema governance for embedding</w:t>
      </w:r>
      <w:r w:rsidRPr="00384F1F">
        <w:rPr>
          <w:rFonts w:ascii="Times New Roman" w:hAnsi="Times New Roman" w:cs="Times New Roman"/>
          <w:sz w:val="20"/>
          <w:szCs w:val="20"/>
        </w:rPr>
        <w:noBreakHyphen/>
        <w:t>based systems; extension to other domains is left to future work.</w:t>
      </w:r>
    </w:p>
    <w:p w14:paraId="415E22A1"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2D687ECB">
          <v:rect id="_x0000_i1091" style="width:0;height:1.5pt" o:hralign="center" o:hrstd="t" o:hr="t" fillcolor="#a0a0a0" stroked="f"/>
        </w:pict>
      </w:r>
    </w:p>
    <w:p w14:paraId="53635B5F"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I. Introduction</w:t>
      </w:r>
    </w:p>
    <w:p w14:paraId="25B52008"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Modern data schemas act as semantic interfaces between AI models, services, and databases. Unlike symbolic schemas, AI</w:t>
      </w:r>
      <w:r w:rsidRPr="00384F1F">
        <w:rPr>
          <w:rFonts w:ascii="Times New Roman" w:hAnsi="Times New Roman" w:cs="Times New Roman"/>
          <w:sz w:val="20"/>
          <w:szCs w:val="20"/>
        </w:rPr>
        <w:noBreakHyphen/>
        <w:t>native systems use vector embeddings to represent meaning; similarity is determined by high</w:t>
      </w:r>
      <w:r w:rsidRPr="00384F1F">
        <w:rPr>
          <w:rFonts w:ascii="Times New Roman" w:hAnsi="Times New Roman" w:cs="Times New Roman"/>
          <w:sz w:val="20"/>
          <w:szCs w:val="20"/>
        </w:rPr>
        <w:noBreakHyphen/>
        <w:t>dimensional proximity. This shift introduces three failure modes:</w:t>
      </w:r>
    </w:p>
    <w:p w14:paraId="309AA88D" w14:textId="77777777" w:rsidR="00384F1F" w:rsidRPr="00384F1F" w:rsidRDefault="00384F1F" w:rsidP="00384F1F">
      <w:pPr>
        <w:numPr>
          <w:ilvl w:val="0"/>
          <w:numId w:val="14"/>
        </w:numPr>
        <w:rPr>
          <w:rFonts w:ascii="Times New Roman" w:hAnsi="Times New Roman" w:cs="Times New Roman"/>
          <w:sz w:val="20"/>
          <w:szCs w:val="20"/>
        </w:rPr>
      </w:pPr>
      <w:r w:rsidRPr="00384F1F">
        <w:rPr>
          <w:rFonts w:ascii="Times New Roman" w:hAnsi="Times New Roman" w:cs="Times New Roman"/>
          <w:b/>
          <w:bCs/>
          <w:sz w:val="20"/>
          <w:szCs w:val="20"/>
        </w:rPr>
        <w:t>Stochastic Instability:</w:t>
      </w:r>
      <w:r w:rsidRPr="00384F1F">
        <w:rPr>
          <w:rFonts w:ascii="Times New Roman" w:hAnsi="Times New Roman" w:cs="Times New Roman"/>
          <w:sz w:val="20"/>
          <w:szCs w:val="20"/>
        </w:rPr>
        <w:t xml:space="preserve"> repeated encoding of the same concept yields non</w:t>
      </w:r>
      <w:r w:rsidRPr="00384F1F">
        <w:rPr>
          <w:rFonts w:ascii="Times New Roman" w:hAnsi="Times New Roman" w:cs="Times New Roman"/>
          <w:sz w:val="20"/>
          <w:szCs w:val="20"/>
        </w:rPr>
        <w:noBreakHyphen/>
        <w:t>identical vectors due to model nondeterminism.</w:t>
      </w:r>
    </w:p>
    <w:p w14:paraId="3840F44D" w14:textId="77777777" w:rsidR="00384F1F" w:rsidRPr="00384F1F" w:rsidRDefault="00384F1F" w:rsidP="00384F1F">
      <w:pPr>
        <w:numPr>
          <w:ilvl w:val="0"/>
          <w:numId w:val="14"/>
        </w:numPr>
        <w:rPr>
          <w:rFonts w:ascii="Times New Roman" w:hAnsi="Times New Roman" w:cs="Times New Roman"/>
          <w:sz w:val="20"/>
          <w:szCs w:val="20"/>
        </w:rPr>
      </w:pPr>
      <w:r w:rsidRPr="00384F1F">
        <w:rPr>
          <w:rFonts w:ascii="Times New Roman" w:hAnsi="Times New Roman" w:cs="Times New Roman"/>
          <w:b/>
          <w:bCs/>
          <w:sz w:val="20"/>
          <w:szCs w:val="20"/>
        </w:rPr>
        <w:t>Semantic Drift:</w:t>
      </w:r>
      <w:r w:rsidRPr="00384F1F">
        <w:rPr>
          <w:rFonts w:ascii="Times New Roman" w:hAnsi="Times New Roman" w:cs="Times New Roman"/>
          <w:sz w:val="20"/>
          <w:szCs w:val="20"/>
        </w:rPr>
        <w:t xml:space="preserve"> model updates or data evolution shift concept representations over time.</w:t>
      </w:r>
    </w:p>
    <w:p w14:paraId="2EE907F7" w14:textId="77777777" w:rsidR="00384F1F" w:rsidRPr="00384F1F" w:rsidRDefault="00384F1F" w:rsidP="00384F1F">
      <w:pPr>
        <w:numPr>
          <w:ilvl w:val="0"/>
          <w:numId w:val="14"/>
        </w:numPr>
        <w:rPr>
          <w:rFonts w:ascii="Times New Roman" w:hAnsi="Times New Roman" w:cs="Times New Roman"/>
          <w:sz w:val="20"/>
          <w:szCs w:val="20"/>
        </w:rPr>
      </w:pPr>
      <w:r w:rsidRPr="00384F1F">
        <w:rPr>
          <w:rFonts w:ascii="Times New Roman" w:hAnsi="Times New Roman" w:cs="Times New Roman"/>
          <w:b/>
          <w:bCs/>
          <w:sz w:val="20"/>
          <w:szCs w:val="20"/>
        </w:rPr>
        <w:t>Context Mixing:</w:t>
      </w:r>
      <w:r w:rsidRPr="00384F1F">
        <w:rPr>
          <w:rFonts w:ascii="Times New Roman" w:hAnsi="Times New Roman" w:cs="Times New Roman"/>
          <w:sz w:val="20"/>
          <w:szCs w:val="20"/>
        </w:rPr>
        <w:t xml:space="preserve"> distinct domains overlap in embedding space (e.g., “card” as payment vs. playing card).</w:t>
      </w:r>
    </w:p>
    <w:p w14:paraId="3CE347FA"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 xml:space="preserve">Classical normalization (1NF–BCNF) addresses structural redundancy but not semantic corruption. </w:t>
      </w:r>
      <w:r w:rsidRPr="00384F1F">
        <w:rPr>
          <w:rFonts w:ascii="Times New Roman" w:hAnsi="Times New Roman" w:cs="Times New Roman"/>
          <w:b/>
          <w:bCs/>
          <w:sz w:val="20"/>
          <w:szCs w:val="20"/>
        </w:rPr>
        <w:t>SDNF</w:t>
      </w:r>
      <w:r w:rsidRPr="00384F1F">
        <w:rPr>
          <w:rFonts w:ascii="Times New Roman" w:hAnsi="Times New Roman" w:cs="Times New Roman"/>
          <w:sz w:val="20"/>
          <w:szCs w:val="20"/>
        </w:rPr>
        <w:t xml:space="preserve"> extends normalization theory into semantic space, enabling progressive refinement from payload</w:t>
      </w:r>
      <w:r w:rsidRPr="00384F1F">
        <w:rPr>
          <w:rFonts w:ascii="Times New Roman" w:hAnsi="Times New Roman" w:cs="Times New Roman"/>
          <w:sz w:val="20"/>
          <w:szCs w:val="20"/>
        </w:rPr>
        <w:noBreakHyphen/>
        <w:t>derived schemas to stable canonical schemas with auditable lineage.</w:t>
      </w:r>
    </w:p>
    <w:p w14:paraId="764D12F7"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Contributions.</w:t>
      </w:r>
      <w:r w:rsidRPr="00384F1F">
        <w:rPr>
          <w:rFonts w:ascii="Times New Roman" w:hAnsi="Times New Roman" w:cs="Times New Roman"/>
          <w:sz w:val="20"/>
          <w:szCs w:val="20"/>
        </w:rPr>
        <w:t xml:space="preserve"> (1) Formal SRS model with multi</w:t>
      </w:r>
      <w:r w:rsidRPr="00384F1F">
        <w:rPr>
          <w:rFonts w:ascii="Times New Roman" w:hAnsi="Times New Roman" w:cs="Times New Roman"/>
          <w:sz w:val="20"/>
          <w:szCs w:val="20"/>
        </w:rPr>
        <w:noBreakHyphen/>
        <w:t>level embeddings and context projections. (2) Seven Semantic Normal Forms (EENF, AANF, CMNF, DBNF, ECNF, RRNF, PONF). (3) Conditional theoretical results under explicit assumptions. (4) Governance pipeline implementation with evidence aggregation and lineage. (5) Experimental validation on payments payloads showing substantial consolidation and high precision.</w:t>
      </w:r>
    </w:p>
    <w:p w14:paraId="05DD8312"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1CD50884">
          <v:rect id="_x0000_i1092" style="width:0;height:1.5pt" o:hralign="center" o:hrstd="t" o:hr="t" fillcolor="#a0a0a0" stroked="f"/>
        </w:pict>
      </w:r>
    </w:p>
    <w:p w14:paraId="1DFA0E67"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II. Semantic Relational Schema (SRS) Model</w:t>
      </w:r>
    </w:p>
    <w:p w14:paraId="1D073620"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A. Formal definition</w:t>
      </w:r>
    </w:p>
    <w:p w14:paraId="38B41FA6"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 xml:space="preserve">An </w:t>
      </w:r>
      <w:r w:rsidRPr="00384F1F">
        <w:rPr>
          <w:rFonts w:ascii="Times New Roman" w:hAnsi="Times New Roman" w:cs="Times New Roman"/>
          <w:b/>
          <w:bCs/>
          <w:sz w:val="20"/>
          <w:szCs w:val="20"/>
        </w:rPr>
        <w:t>SRS</w:t>
      </w:r>
      <w:r w:rsidRPr="00384F1F">
        <w:rPr>
          <w:rFonts w:ascii="Times New Roman" w:hAnsi="Times New Roman" w:cs="Times New Roman"/>
          <w:sz w:val="20"/>
          <w:szCs w:val="20"/>
        </w:rPr>
        <w:t xml:space="preserve"> is a tuple </w:t>
      </w:r>
      <w:proofErr w:type="gramStart"/>
      <w:r w:rsidRPr="00384F1F">
        <w:rPr>
          <w:rFonts w:ascii="Times New Roman" w:hAnsi="Times New Roman" w:cs="Times New Roman"/>
          <w:sz w:val="20"/>
          <w:szCs w:val="20"/>
        </w:rPr>
        <w:t>( \</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SRS}=(</w:t>
      </w:r>
      <w:proofErr w:type="gramStart"/>
      <w:r w:rsidRPr="00384F1F">
        <w:rPr>
          <w:rFonts w:ascii="Times New Roman" w:hAnsi="Times New Roman" w:cs="Times New Roman"/>
          <w:sz w:val="20"/>
          <w:szCs w:val="20"/>
        </w:rPr>
        <w:t>E,A</w:t>
      </w:r>
      <w:proofErr w:type="gramEnd"/>
      <w:r w:rsidRPr="00384F1F">
        <w:rPr>
          <w:rFonts w:ascii="Times New Roman" w:hAnsi="Times New Roman" w:cs="Times New Roman"/>
          <w:sz w:val="20"/>
          <w:szCs w:val="20"/>
        </w:rPr>
        <w:t>,</w:t>
      </w:r>
      <w:proofErr w:type="gramStart"/>
      <w:r w:rsidRPr="00384F1F">
        <w:rPr>
          <w:rFonts w:ascii="Times New Roman" w:hAnsi="Times New Roman" w:cs="Times New Roman"/>
          <w:sz w:val="20"/>
          <w:szCs w:val="20"/>
        </w:rPr>
        <w:t>R,\</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Emb</w:t>
      </w:r>
      <w:proofErr w:type="gramStart"/>
      <w:r w:rsidRPr="00384F1F">
        <w:rPr>
          <w:rFonts w:ascii="Times New Roman" w:hAnsi="Times New Roman" w:cs="Times New Roman"/>
          <w:sz w:val="20"/>
          <w:szCs w:val="20"/>
        </w:rPr>
        <w:t>},C</w:t>
      </w:r>
      <w:proofErr w:type="gramEnd"/>
      <w:r w:rsidRPr="00384F1F">
        <w:rPr>
          <w:rFonts w:ascii="Times New Roman" w:hAnsi="Times New Roman" w:cs="Times New Roman"/>
          <w:sz w:val="20"/>
          <w:szCs w:val="20"/>
        </w:rPr>
        <w:t>,L</w:t>
      </w:r>
      <w:proofErr w:type="gramStart"/>
      <w:r w:rsidRPr="00384F1F">
        <w:rPr>
          <w:rFonts w:ascii="Times New Roman" w:hAnsi="Times New Roman" w:cs="Times New Roman"/>
          <w:sz w:val="20"/>
          <w:szCs w:val="20"/>
        </w:rPr>
        <w:t>) )</w:t>
      </w:r>
      <w:proofErr w:type="gramEnd"/>
      <w:r w:rsidRPr="00384F1F">
        <w:rPr>
          <w:rFonts w:ascii="Times New Roman" w:hAnsi="Times New Roman" w:cs="Times New Roman"/>
          <w:sz w:val="20"/>
          <w:szCs w:val="20"/>
        </w:rPr>
        <w:t xml:space="preserve"> where:</w:t>
      </w:r>
    </w:p>
    <w:p w14:paraId="712EFBB8" w14:textId="77777777" w:rsidR="00384F1F" w:rsidRPr="00384F1F" w:rsidRDefault="00384F1F" w:rsidP="00384F1F">
      <w:pPr>
        <w:numPr>
          <w:ilvl w:val="0"/>
          <w:numId w:val="15"/>
        </w:numPr>
        <w:rPr>
          <w:rFonts w:ascii="Times New Roman" w:hAnsi="Times New Roman" w:cs="Times New Roman"/>
          <w:sz w:val="20"/>
          <w:szCs w:val="20"/>
        </w:rPr>
      </w:pPr>
      <w:r w:rsidRPr="00384F1F">
        <w:rPr>
          <w:rFonts w:ascii="Times New Roman" w:hAnsi="Times New Roman" w:cs="Times New Roman"/>
          <w:b/>
          <w:bCs/>
          <w:sz w:val="20"/>
          <w:szCs w:val="20"/>
        </w:rPr>
        <w:t>E:</w:t>
      </w:r>
      <w:r w:rsidRPr="00384F1F">
        <w:rPr>
          <w:rFonts w:ascii="Times New Roman" w:hAnsi="Times New Roman" w:cs="Times New Roman"/>
          <w:sz w:val="20"/>
          <w:szCs w:val="20"/>
        </w:rPr>
        <w:t xml:space="preserve"> set of entities (canonical concepts).</w:t>
      </w:r>
    </w:p>
    <w:p w14:paraId="327BA892" w14:textId="77777777" w:rsidR="00384F1F" w:rsidRPr="00384F1F" w:rsidRDefault="00384F1F" w:rsidP="00384F1F">
      <w:pPr>
        <w:numPr>
          <w:ilvl w:val="0"/>
          <w:numId w:val="15"/>
        </w:numPr>
        <w:rPr>
          <w:rFonts w:ascii="Times New Roman" w:hAnsi="Times New Roman" w:cs="Times New Roman"/>
          <w:sz w:val="20"/>
          <w:szCs w:val="20"/>
        </w:rPr>
      </w:pPr>
      <w:r w:rsidRPr="00384F1F">
        <w:rPr>
          <w:rFonts w:ascii="Times New Roman" w:hAnsi="Times New Roman" w:cs="Times New Roman"/>
          <w:b/>
          <w:bCs/>
          <w:sz w:val="20"/>
          <w:szCs w:val="20"/>
        </w:rPr>
        <w:t>A:</w:t>
      </w:r>
      <w:r w:rsidRPr="00384F1F">
        <w:rPr>
          <w:rFonts w:ascii="Times New Roman" w:hAnsi="Times New Roman" w:cs="Times New Roman"/>
          <w:sz w:val="20"/>
          <w:szCs w:val="20"/>
        </w:rPr>
        <w:t xml:space="preserve"> attributes with metadata (type, regex, provenance, aliases).</w:t>
      </w:r>
    </w:p>
    <w:p w14:paraId="4CFEC414" w14:textId="77777777" w:rsidR="00384F1F" w:rsidRPr="00384F1F" w:rsidRDefault="00384F1F" w:rsidP="00384F1F">
      <w:pPr>
        <w:numPr>
          <w:ilvl w:val="0"/>
          <w:numId w:val="15"/>
        </w:numPr>
        <w:rPr>
          <w:rFonts w:ascii="Times New Roman" w:hAnsi="Times New Roman" w:cs="Times New Roman"/>
          <w:sz w:val="20"/>
          <w:szCs w:val="20"/>
        </w:rPr>
      </w:pPr>
      <w:r w:rsidRPr="00384F1F">
        <w:rPr>
          <w:rFonts w:ascii="Times New Roman" w:hAnsi="Times New Roman" w:cs="Times New Roman"/>
          <w:b/>
          <w:bCs/>
          <w:sz w:val="20"/>
          <w:szCs w:val="20"/>
        </w:rPr>
        <w:t>R:</w:t>
      </w:r>
      <w:r w:rsidRPr="00384F1F">
        <w:rPr>
          <w:rFonts w:ascii="Times New Roman" w:hAnsi="Times New Roman" w:cs="Times New Roman"/>
          <w:sz w:val="20"/>
          <w:szCs w:val="20"/>
        </w:rPr>
        <w:t xml:space="preserve"> semantic relations (source, target, confidence, role).</w:t>
      </w:r>
    </w:p>
    <w:p w14:paraId="64B50157" w14:textId="77777777" w:rsidR="00384F1F" w:rsidRPr="00384F1F" w:rsidRDefault="00384F1F" w:rsidP="00384F1F">
      <w:pPr>
        <w:numPr>
          <w:ilvl w:val="0"/>
          <w:numId w:val="15"/>
        </w:numPr>
        <w:rPr>
          <w:rFonts w:ascii="Times New Roman" w:hAnsi="Times New Roman" w:cs="Times New Roman"/>
          <w:sz w:val="20"/>
          <w:szCs w:val="20"/>
        </w:rPr>
      </w:pPr>
      <w:r w:rsidRPr="00384F1F">
        <w:rPr>
          <w:rFonts w:ascii="Times New Roman" w:hAnsi="Times New Roman" w:cs="Times New Roman"/>
          <w:b/>
          <w:bCs/>
          <w:sz w:val="20"/>
          <w:szCs w:val="20"/>
        </w:rPr>
        <w:t>Emb(</w:t>
      </w:r>
      <w:proofErr w:type="spellStart"/>
      <w:proofErr w:type="gramStart"/>
      <w:r w:rsidRPr="00384F1F">
        <w:rPr>
          <w:rFonts w:ascii="Times New Roman" w:hAnsi="Times New Roman" w:cs="Times New Roman"/>
          <w:b/>
          <w:bCs/>
          <w:sz w:val="20"/>
          <w:szCs w:val="20"/>
        </w:rPr>
        <w:t>p,c</w:t>
      </w:r>
      <w:proofErr w:type="spellEnd"/>
      <w:proofErr w:type="gramEnd"/>
      <w:r w:rsidRPr="00384F1F">
        <w:rPr>
          <w:rFonts w:ascii="Times New Roman" w:hAnsi="Times New Roman" w:cs="Times New Roman"/>
          <w:b/>
          <w:bCs/>
          <w:sz w:val="20"/>
          <w:szCs w:val="20"/>
        </w:rPr>
        <w:t>):</w:t>
      </w:r>
      <w:r w:rsidRPr="00384F1F">
        <w:rPr>
          <w:rFonts w:ascii="Times New Roman" w:hAnsi="Times New Roman" w:cs="Times New Roman"/>
          <w:sz w:val="20"/>
          <w:szCs w:val="20"/>
        </w:rPr>
        <w:t xml:space="preserve"> embedding function (P\times C\to\</w:t>
      </w:r>
      <w:proofErr w:type="spellStart"/>
      <w:r w:rsidRPr="00384F1F">
        <w:rPr>
          <w:rFonts w:ascii="Times New Roman" w:hAnsi="Times New Roman" w:cs="Times New Roman"/>
          <w:sz w:val="20"/>
          <w:szCs w:val="20"/>
        </w:rPr>
        <w:t>mathbb</w:t>
      </w:r>
      <w:proofErr w:type="spellEnd"/>
      <w:r w:rsidRPr="00384F1F">
        <w:rPr>
          <w:rFonts w:ascii="Times New Roman" w:hAnsi="Times New Roman" w:cs="Times New Roman"/>
          <w:sz w:val="20"/>
          <w:szCs w:val="20"/>
        </w:rPr>
        <w:t>{R}^d).</w:t>
      </w:r>
    </w:p>
    <w:p w14:paraId="0F014ACA" w14:textId="77777777" w:rsidR="00384F1F" w:rsidRPr="00384F1F" w:rsidRDefault="00384F1F" w:rsidP="00384F1F">
      <w:pPr>
        <w:numPr>
          <w:ilvl w:val="0"/>
          <w:numId w:val="15"/>
        </w:numPr>
        <w:rPr>
          <w:rFonts w:ascii="Times New Roman" w:hAnsi="Times New Roman" w:cs="Times New Roman"/>
          <w:sz w:val="20"/>
          <w:szCs w:val="20"/>
        </w:rPr>
      </w:pPr>
      <w:r w:rsidRPr="00384F1F">
        <w:rPr>
          <w:rFonts w:ascii="Times New Roman" w:hAnsi="Times New Roman" w:cs="Times New Roman"/>
          <w:b/>
          <w:bCs/>
          <w:sz w:val="20"/>
          <w:szCs w:val="20"/>
        </w:rPr>
        <w:t>C:</w:t>
      </w:r>
      <w:r w:rsidRPr="00384F1F">
        <w:rPr>
          <w:rFonts w:ascii="Times New Roman" w:hAnsi="Times New Roman" w:cs="Times New Roman"/>
          <w:sz w:val="20"/>
          <w:szCs w:val="20"/>
        </w:rPr>
        <w:t xml:space="preserve"> semantic contexts (e.g., Payments, Risk).</w:t>
      </w:r>
    </w:p>
    <w:p w14:paraId="3F9ED53D" w14:textId="77777777" w:rsidR="00384F1F" w:rsidRPr="00384F1F" w:rsidRDefault="00384F1F" w:rsidP="00384F1F">
      <w:pPr>
        <w:numPr>
          <w:ilvl w:val="0"/>
          <w:numId w:val="15"/>
        </w:numPr>
        <w:rPr>
          <w:rFonts w:ascii="Times New Roman" w:hAnsi="Times New Roman" w:cs="Times New Roman"/>
          <w:sz w:val="20"/>
          <w:szCs w:val="20"/>
        </w:rPr>
      </w:pPr>
      <w:r w:rsidRPr="00384F1F">
        <w:rPr>
          <w:rFonts w:ascii="Times New Roman" w:hAnsi="Times New Roman" w:cs="Times New Roman"/>
          <w:b/>
          <w:bCs/>
          <w:sz w:val="20"/>
          <w:szCs w:val="20"/>
        </w:rPr>
        <w:t>L:</w:t>
      </w:r>
      <w:r w:rsidRPr="00384F1F">
        <w:rPr>
          <w:rFonts w:ascii="Times New Roman" w:hAnsi="Times New Roman" w:cs="Times New Roman"/>
          <w:sz w:val="20"/>
          <w:szCs w:val="20"/>
        </w:rPr>
        <w:t xml:space="preserve"> append</w:t>
      </w:r>
      <w:r w:rsidRPr="00384F1F">
        <w:rPr>
          <w:rFonts w:ascii="Times New Roman" w:hAnsi="Times New Roman" w:cs="Times New Roman"/>
          <w:sz w:val="20"/>
          <w:szCs w:val="20"/>
        </w:rPr>
        <w:noBreakHyphen/>
        <w:t>only lineage log of evolution events with evidence.</w:t>
      </w:r>
    </w:p>
    <w:p w14:paraId="4B67654B"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lastRenderedPageBreak/>
        <w:t>B. Multi</w:t>
      </w:r>
      <w:r w:rsidRPr="00384F1F">
        <w:rPr>
          <w:rFonts w:ascii="Times New Roman" w:hAnsi="Times New Roman" w:cs="Times New Roman"/>
          <w:b/>
          <w:bCs/>
          <w:sz w:val="20"/>
          <w:szCs w:val="20"/>
        </w:rPr>
        <w:noBreakHyphen/>
        <w:t>level embedding decomposition</w:t>
      </w:r>
    </w:p>
    <w:p w14:paraId="58A5C9CF"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For primitive (p) in context (c): [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Emb}(</w:t>
      </w:r>
      <w:proofErr w:type="spellStart"/>
      <w:proofErr w:type="gramStart"/>
      <w:r w:rsidRPr="00384F1F">
        <w:rPr>
          <w:rFonts w:ascii="Times New Roman" w:hAnsi="Times New Roman" w:cs="Times New Roman"/>
          <w:sz w:val="20"/>
          <w:szCs w:val="20"/>
        </w:rPr>
        <w:t>p,c</w:t>
      </w:r>
      <w:proofErr w:type="spellEnd"/>
      <w:proofErr w:type="gramEnd"/>
      <w:r w:rsidRPr="00384F1F">
        <w:rPr>
          <w:rFonts w:ascii="Times New Roman" w:hAnsi="Times New Roman" w:cs="Times New Roman"/>
          <w:sz w:val="20"/>
          <w:szCs w:val="20"/>
        </w:rPr>
        <w:t>) = [\</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Emb}</w:t>
      </w:r>
      <w:r w:rsidRPr="00384F1F">
        <w:rPr>
          <w:rFonts w:ascii="Times New Roman" w:hAnsi="Times New Roman" w:cs="Times New Roman"/>
          <w:i/>
          <w:iCs/>
          <w:sz w:val="20"/>
          <w:szCs w:val="20"/>
        </w:rPr>
        <w:t>{\text{fine</w:t>
      </w:r>
      <w:proofErr w:type="gramStart"/>
      <w:r w:rsidRPr="00384F1F">
        <w:rPr>
          <w:rFonts w:ascii="Times New Roman" w:hAnsi="Times New Roman" w:cs="Times New Roman"/>
          <w:i/>
          <w:iCs/>
          <w:sz w:val="20"/>
          <w:szCs w:val="20"/>
        </w:rPr>
        <w:t>}}(p,c);\Vert;\mathrm{</w:t>
      </w:r>
      <w:proofErr w:type="gramEnd"/>
      <w:r w:rsidRPr="00384F1F">
        <w:rPr>
          <w:rFonts w:ascii="Times New Roman" w:hAnsi="Times New Roman" w:cs="Times New Roman"/>
          <w:i/>
          <w:iCs/>
          <w:sz w:val="20"/>
          <w:szCs w:val="20"/>
        </w:rPr>
        <w:t>Emb}</w:t>
      </w:r>
      <w:r w:rsidRPr="00384F1F">
        <w:rPr>
          <w:rFonts w:ascii="Times New Roman" w:hAnsi="Times New Roman" w:cs="Times New Roman"/>
          <w:sz w:val="20"/>
          <w:szCs w:val="20"/>
        </w:rPr>
        <w:t>{\text{abstract</w:t>
      </w:r>
      <w:proofErr w:type="gramStart"/>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p</w:t>
      </w:r>
      <w:proofErr w:type="gramStart"/>
      <w:r w:rsidRPr="00384F1F">
        <w:rPr>
          <w:rFonts w:ascii="Times New Roman" w:hAnsi="Times New Roman" w:cs="Times New Roman"/>
          <w:sz w:val="20"/>
          <w:szCs w:val="20"/>
        </w:rPr>
        <w:t>);\Vert;\mathrm{</w:t>
      </w:r>
      <w:proofErr w:type="gramEnd"/>
      <w:r w:rsidRPr="00384F1F">
        <w:rPr>
          <w:rFonts w:ascii="Times New Roman" w:hAnsi="Times New Roman" w:cs="Times New Roman"/>
          <w:sz w:val="20"/>
          <w:szCs w:val="20"/>
        </w:rPr>
        <w:t>Emb}_{\text{contextual</w:t>
      </w:r>
      <w:proofErr w:type="gramStart"/>
      <w:r w:rsidRPr="00384F1F">
        <w:rPr>
          <w:rFonts w:ascii="Times New Roman" w:hAnsi="Times New Roman" w:cs="Times New Roman"/>
          <w:sz w:val="20"/>
          <w:szCs w:val="20"/>
        </w:rPr>
        <w:t>}}(p,c</w:t>
      </w:r>
      <w:proofErr w:type="gramEnd"/>
      <w:r w:rsidRPr="00384F1F">
        <w:rPr>
          <w:rFonts w:ascii="Times New Roman" w:hAnsi="Times New Roman" w:cs="Times New Roman"/>
          <w:sz w:val="20"/>
          <w:szCs w:val="20"/>
        </w:rPr>
        <w:t>)</w:t>
      </w:r>
      <w:proofErr w:type="gramStart"/>
      <w:r w:rsidRPr="00384F1F">
        <w:rPr>
          <w:rFonts w:ascii="Times New Roman" w:hAnsi="Times New Roman" w:cs="Times New Roman"/>
          <w:sz w:val="20"/>
          <w:szCs w:val="20"/>
        </w:rPr>
        <w:t>] ]</w:t>
      </w:r>
      <w:proofErr w:type="gramEnd"/>
      <w:r w:rsidRPr="00384F1F">
        <w:rPr>
          <w:rFonts w:ascii="Times New Roman" w:hAnsi="Times New Roman" w:cs="Times New Roman"/>
          <w:sz w:val="20"/>
          <w:szCs w:val="20"/>
        </w:rPr>
        <w:t xml:space="preserve"> Each </w:t>
      </w:r>
      <w:proofErr w:type="spellStart"/>
      <w:r w:rsidRPr="00384F1F">
        <w:rPr>
          <w:rFonts w:ascii="Times New Roman" w:hAnsi="Times New Roman" w:cs="Times New Roman"/>
          <w:sz w:val="20"/>
          <w:szCs w:val="20"/>
        </w:rPr>
        <w:t>subvector</w:t>
      </w:r>
      <w:proofErr w:type="spellEnd"/>
      <w:r w:rsidRPr="00384F1F">
        <w:rPr>
          <w:rFonts w:ascii="Times New Roman" w:hAnsi="Times New Roman" w:cs="Times New Roman"/>
          <w:sz w:val="20"/>
          <w:szCs w:val="20"/>
        </w:rPr>
        <w:t xml:space="preserve"> is L2</w:t>
      </w:r>
      <w:r w:rsidRPr="00384F1F">
        <w:rPr>
          <w:rFonts w:ascii="Times New Roman" w:hAnsi="Times New Roman" w:cs="Times New Roman"/>
          <w:sz w:val="20"/>
          <w:szCs w:val="20"/>
        </w:rPr>
        <w:noBreakHyphen/>
        <w:t>normalized before concatenation. This decomposition separates lexical, context</w:t>
      </w:r>
      <w:r w:rsidRPr="00384F1F">
        <w:rPr>
          <w:rFonts w:ascii="Times New Roman" w:hAnsi="Times New Roman" w:cs="Times New Roman"/>
          <w:sz w:val="20"/>
          <w:szCs w:val="20"/>
        </w:rPr>
        <w:noBreakHyphen/>
        <w:t>independent, and domain</w:t>
      </w:r>
      <w:r w:rsidRPr="00384F1F">
        <w:rPr>
          <w:rFonts w:ascii="Times New Roman" w:hAnsi="Times New Roman" w:cs="Times New Roman"/>
          <w:sz w:val="20"/>
          <w:szCs w:val="20"/>
        </w:rPr>
        <w:noBreakHyphen/>
        <w:t>modulated semantics and supports progressive convergence as evidence accumulates.</w:t>
      </w:r>
    </w:p>
    <w:p w14:paraId="6B3BE2B0"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C. Context projection operator</w:t>
      </w:r>
    </w:p>
    <w:p w14:paraId="737467A1"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For each context (c) define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w:t>
      </w:r>
      <w:proofErr w:type="spellStart"/>
      <w:r w:rsidRPr="00384F1F">
        <w:rPr>
          <w:rFonts w:ascii="Times New Roman" w:hAnsi="Times New Roman" w:cs="Times New Roman"/>
          <w:sz w:val="20"/>
          <w:szCs w:val="20"/>
        </w:rPr>
        <w:t>mathbb</w:t>
      </w:r>
      <w:proofErr w:type="spellEnd"/>
      <w:r w:rsidRPr="00384F1F">
        <w:rPr>
          <w:rFonts w:ascii="Times New Roman" w:hAnsi="Times New Roman" w:cs="Times New Roman"/>
          <w:sz w:val="20"/>
          <w:szCs w:val="20"/>
        </w:rPr>
        <w:t>{R}^d\to\</w:t>
      </w:r>
      <w:proofErr w:type="spellStart"/>
      <w:r w:rsidRPr="00384F1F">
        <w:rPr>
          <w:rFonts w:ascii="Times New Roman" w:hAnsi="Times New Roman" w:cs="Times New Roman"/>
          <w:sz w:val="20"/>
          <w:szCs w:val="20"/>
        </w:rPr>
        <w:t>mathbb</w:t>
      </w:r>
      <w:proofErr w:type="spellEnd"/>
      <w:r w:rsidRPr="00384F1F">
        <w:rPr>
          <w:rFonts w:ascii="Times New Roman" w:hAnsi="Times New Roman" w:cs="Times New Roman"/>
          <w:sz w:val="20"/>
          <w:szCs w:val="20"/>
        </w:rPr>
        <w:t>{R}^d) with practical properties:</w:t>
      </w:r>
    </w:p>
    <w:p w14:paraId="53B888B1" w14:textId="77777777" w:rsidR="00384F1F" w:rsidRPr="00384F1F" w:rsidRDefault="00384F1F" w:rsidP="00384F1F">
      <w:pPr>
        <w:numPr>
          <w:ilvl w:val="0"/>
          <w:numId w:val="16"/>
        </w:numPr>
        <w:rPr>
          <w:rFonts w:ascii="Times New Roman" w:hAnsi="Times New Roman" w:cs="Times New Roman"/>
          <w:sz w:val="20"/>
          <w:szCs w:val="20"/>
        </w:rPr>
      </w:pPr>
      <w:r w:rsidRPr="00384F1F">
        <w:rPr>
          <w:rFonts w:ascii="Times New Roman" w:hAnsi="Times New Roman" w:cs="Times New Roman"/>
          <w:b/>
          <w:bCs/>
          <w:sz w:val="20"/>
          <w:szCs w:val="20"/>
        </w:rPr>
        <w:t>Bounded norm:</w:t>
      </w:r>
      <w:r w:rsidRPr="00384F1F">
        <w:rPr>
          <w:rFonts w:ascii="Times New Roman" w:hAnsi="Times New Roman" w:cs="Times New Roman"/>
          <w:sz w:val="20"/>
          <w:szCs w:val="20"/>
        </w:rPr>
        <w:t xml:space="preserve">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}_c|\le\kappa).</w:t>
      </w:r>
    </w:p>
    <w:p w14:paraId="6960DC38" w14:textId="77777777" w:rsidR="00384F1F" w:rsidRPr="00384F1F" w:rsidRDefault="00384F1F" w:rsidP="00384F1F">
      <w:pPr>
        <w:numPr>
          <w:ilvl w:val="0"/>
          <w:numId w:val="16"/>
        </w:numPr>
        <w:rPr>
          <w:rFonts w:ascii="Times New Roman" w:hAnsi="Times New Roman" w:cs="Times New Roman"/>
          <w:sz w:val="20"/>
          <w:szCs w:val="20"/>
        </w:rPr>
      </w:pPr>
      <w:r w:rsidRPr="00384F1F">
        <w:rPr>
          <w:rFonts w:ascii="Times New Roman" w:hAnsi="Times New Roman" w:cs="Times New Roman"/>
          <w:b/>
          <w:bCs/>
          <w:sz w:val="20"/>
          <w:szCs w:val="20"/>
        </w:rPr>
        <w:t>Approximate idempotence:</w:t>
      </w:r>
      <w:r w:rsidRPr="00384F1F">
        <w:rPr>
          <w:rFonts w:ascii="Times New Roman" w:hAnsi="Times New Roman" w:cs="Times New Roman"/>
          <w:sz w:val="20"/>
          <w:szCs w:val="20"/>
        </w:rPr>
        <w:t xml:space="preserve">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}_c^2-\</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}_c|\le\delta).</w:t>
      </w:r>
    </w:p>
    <w:p w14:paraId="43ED3C17" w14:textId="77777777" w:rsidR="00384F1F" w:rsidRPr="00384F1F" w:rsidRDefault="00384F1F" w:rsidP="00384F1F">
      <w:pPr>
        <w:numPr>
          <w:ilvl w:val="0"/>
          <w:numId w:val="16"/>
        </w:numPr>
        <w:rPr>
          <w:rFonts w:ascii="Times New Roman" w:hAnsi="Times New Roman" w:cs="Times New Roman"/>
          <w:sz w:val="20"/>
          <w:szCs w:val="20"/>
        </w:rPr>
      </w:pPr>
      <w:r w:rsidRPr="00384F1F">
        <w:rPr>
          <w:rFonts w:ascii="Times New Roman" w:hAnsi="Times New Roman" w:cs="Times New Roman"/>
          <w:b/>
          <w:bCs/>
          <w:sz w:val="20"/>
          <w:szCs w:val="20"/>
        </w:rPr>
        <w:t>Stability:</w:t>
      </w:r>
      <w:r w:rsidRPr="00384F1F">
        <w:rPr>
          <w:rFonts w:ascii="Times New Roman" w:hAnsi="Times New Roman" w:cs="Times New Roman"/>
          <w:sz w:val="20"/>
          <w:szCs w:val="20"/>
        </w:rPr>
        <w:t xml:space="preserve">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}_c(x+\eta)-\</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}_c(x)|\le\kappa|\eta|).</w:t>
      </w:r>
    </w:p>
    <w:p w14:paraId="7F271FD5"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Practical realizations include PCA/ridge linear maps (</w:t>
      </w:r>
      <w:proofErr w:type="spellStart"/>
      <w:r w:rsidRPr="00384F1F">
        <w:rPr>
          <w:rFonts w:ascii="Times New Roman" w:hAnsi="Times New Roman" w:cs="Times New Roman"/>
          <w:sz w:val="20"/>
          <w:szCs w:val="20"/>
        </w:rPr>
        <w:t>W_c</w:t>
      </w:r>
      <w:proofErr w:type="spellEnd"/>
      <w:r w:rsidRPr="00384F1F">
        <w:rPr>
          <w:rFonts w:ascii="Times New Roman" w:hAnsi="Times New Roman" w:cs="Times New Roman"/>
          <w:sz w:val="20"/>
          <w:szCs w:val="20"/>
        </w:rPr>
        <w:t>) and attention</w:t>
      </w:r>
      <w:r w:rsidRPr="00384F1F">
        <w:rPr>
          <w:rFonts w:ascii="Times New Roman" w:hAnsi="Times New Roman" w:cs="Times New Roman"/>
          <w:sz w:val="20"/>
          <w:szCs w:val="20"/>
        </w:rPr>
        <w:noBreakHyphen/>
        <w:t>based diagonal modulation. Projections encourage near</w:t>
      </w:r>
      <w:r w:rsidRPr="00384F1F">
        <w:rPr>
          <w:rFonts w:ascii="Times New Roman" w:hAnsi="Times New Roman" w:cs="Times New Roman"/>
          <w:sz w:val="20"/>
          <w:szCs w:val="20"/>
        </w:rPr>
        <w:noBreakHyphen/>
        <w:t>orthogonality of identical tokens across distinct contexts.</w:t>
      </w:r>
    </w:p>
    <w:p w14:paraId="1AFD3AA6"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D. SRS metric and evidence inner product</w:t>
      </w:r>
    </w:p>
    <w:p w14:paraId="7FBFA6FA"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Definition 1 (SRS metric).</w:t>
      </w:r>
      <w:r w:rsidRPr="00384F1F">
        <w:rPr>
          <w:rFonts w:ascii="Times New Roman" w:hAnsi="Times New Roman" w:cs="Times New Roman"/>
          <w:sz w:val="20"/>
          <w:szCs w:val="20"/>
        </w:rPr>
        <w:t xml:space="preserve"> For primitives (p_</w:t>
      </w:r>
      <w:proofErr w:type="gramStart"/>
      <w:r w:rsidRPr="00384F1F">
        <w:rPr>
          <w:rFonts w:ascii="Times New Roman" w:hAnsi="Times New Roman" w:cs="Times New Roman"/>
          <w:sz w:val="20"/>
          <w:szCs w:val="20"/>
        </w:rPr>
        <w:t>1,p</w:t>
      </w:r>
      <w:proofErr w:type="gramEnd"/>
      <w:r w:rsidRPr="00384F1F">
        <w:rPr>
          <w:rFonts w:ascii="Times New Roman" w:hAnsi="Times New Roman" w:cs="Times New Roman"/>
          <w:sz w:val="20"/>
          <w:szCs w:val="20"/>
        </w:rPr>
        <w:t>_2) in context (c): [ d_{\</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SRS</w:t>
      </w:r>
      <w:proofErr w:type="gramStart"/>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(p_</w:t>
      </w:r>
      <w:proofErr w:type="gramStart"/>
      <w:r w:rsidRPr="00384F1F">
        <w:rPr>
          <w:rFonts w:ascii="Times New Roman" w:hAnsi="Times New Roman" w:cs="Times New Roman"/>
          <w:sz w:val="20"/>
          <w:szCs w:val="20"/>
        </w:rPr>
        <w:t>1,c),(</w:t>
      </w:r>
      <w:proofErr w:type="gramEnd"/>
      <w:r w:rsidRPr="00384F1F">
        <w:rPr>
          <w:rFonts w:ascii="Times New Roman" w:hAnsi="Times New Roman" w:cs="Times New Roman"/>
          <w:sz w:val="20"/>
          <w:szCs w:val="20"/>
        </w:rPr>
        <w:t>p_</w:t>
      </w:r>
      <w:proofErr w:type="gramStart"/>
      <w:r w:rsidRPr="00384F1F">
        <w:rPr>
          <w:rFonts w:ascii="Times New Roman" w:hAnsi="Times New Roman" w:cs="Times New Roman"/>
          <w:sz w:val="20"/>
          <w:szCs w:val="20"/>
        </w:rPr>
        <w:t>2,c</w:t>
      </w:r>
      <w:proofErr w:type="gramEnd"/>
      <w:r w:rsidRPr="00384F1F">
        <w:rPr>
          <w:rFonts w:ascii="Times New Roman" w:hAnsi="Times New Roman" w:cs="Times New Roman"/>
          <w:sz w:val="20"/>
          <w:szCs w:val="20"/>
        </w:rPr>
        <w:t>)</w:t>
      </w:r>
      <w:proofErr w:type="gramStart"/>
      <w:r w:rsidRPr="00384F1F">
        <w:rPr>
          <w:rFonts w:ascii="Times New Roman" w:hAnsi="Times New Roman" w:cs="Times New Roman"/>
          <w:sz w:val="20"/>
          <w:szCs w:val="20"/>
        </w:rPr>
        <w:t>) :</w:t>
      </w:r>
      <w:proofErr w:type="gramEnd"/>
      <w:r w:rsidRPr="00384F1F">
        <w:rPr>
          <w:rFonts w:ascii="Times New Roman" w:hAnsi="Times New Roman" w:cs="Times New Roman"/>
          <w:sz w:val="20"/>
          <w:szCs w:val="20"/>
        </w:rPr>
        <w:t>=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Emb}(p_</w:t>
      </w:r>
      <w:proofErr w:type="gramStart"/>
      <w:r w:rsidRPr="00384F1F">
        <w:rPr>
          <w:rFonts w:ascii="Times New Roman" w:hAnsi="Times New Roman" w:cs="Times New Roman"/>
          <w:sz w:val="20"/>
          <w:szCs w:val="20"/>
        </w:rPr>
        <w:t>1,c</w:t>
      </w:r>
      <w:proofErr w:type="gramEnd"/>
      <w:r w:rsidRPr="00384F1F">
        <w:rPr>
          <w:rFonts w:ascii="Times New Roman" w:hAnsi="Times New Roman" w:cs="Times New Roman"/>
          <w:sz w:val="20"/>
          <w:szCs w:val="20"/>
        </w:rPr>
        <w:t>)) -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Emb}(p_</w:t>
      </w:r>
      <w:proofErr w:type="gramStart"/>
      <w:r w:rsidRPr="00384F1F">
        <w:rPr>
          <w:rFonts w:ascii="Times New Roman" w:hAnsi="Times New Roman" w:cs="Times New Roman"/>
          <w:sz w:val="20"/>
          <w:szCs w:val="20"/>
        </w:rPr>
        <w:t>2,c))|</w:t>
      </w:r>
      <w:proofErr w:type="gramEnd"/>
      <w:r w:rsidRPr="00384F1F">
        <w:rPr>
          <w:rFonts w:ascii="Times New Roman" w:hAnsi="Times New Roman" w:cs="Times New Roman"/>
          <w:sz w:val="20"/>
          <w:szCs w:val="20"/>
        </w:rPr>
        <w:t>_2</w:t>
      </w:r>
      <w:proofErr w:type="gramStart"/>
      <w:r w:rsidRPr="00384F1F">
        <w:rPr>
          <w:rFonts w:ascii="Times New Roman" w:hAnsi="Times New Roman" w:cs="Times New Roman"/>
          <w:sz w:val="20"/>
          <w:szCs w:val="20"/>
        </w:rPr>
        <w:t>. ]</w:t>
      </w:r>
      <w:proofErr w:type="gramEnd"/>
    </w:p>
    <w:p w14:paraId="7675B942"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Definition 2 (Evidence</w:t>
      </w:r>
      <w:r w:rsidRPr="00384F1F">
        <w:rPr>
          <w:rFonts w:ascii="Times New Roman" w:hAnsi="Times New Roman" w:cs="Times New Roman"/>
          <w:b/>
          <w:bCs/>
          <w:sz w:val="20"/>
          <w:szCs w:val="20"/>
        </w:rPr>
        <w:noBreakHyphen/>
        <w:t>weighted inner product).</w:t>
      </w:r>
      <w:r w:rsidRPr="00384F1F">
        <w:rPr>
          <w:rFonts w:ascii="Times New Roman" w:hAnsi="Times New Roman" w:cs="Times New Roman"/>
          <w:sz w:val="20"/>
          <w:szCs w:val="20"/>
        </w:rPr>
        <w:t xml:space="preserve"> For entities (e_1,e_2) with evidence sets (\</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{Ev}_1,\</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{Ev}_2): [ \</w:t>
      </w:r>
      <w:proofErr w:type="spellStart"/>
      <w:r w:rsidRPr="00384F1F">
        <w:rPr>
          <w:rFonts w:ascii="Times New Roman" w:hAnsi="Times New Roman" w:cs="Times New Roman"/>
          <w:sz w:val="20"/>
          <w:szCs w:val="20"/>
        </w:rPr>
        <w:t>langle</w:t>
      </w:r>
      <w:proofErr w:type="spellEnd"/>
      <w:r w:rsidRPr="00384F1F">
        <w:rPr>
          <w:rFonts w:ascii="Times New Roman" w:hAnsi="Times New Roman" w:cs="Times New Roman"/>
          <w:sz w:val="20"/>
          <w:szCs w:val="20"/>
        </w:rPr>
        <w:t xml:space="preserve"> e_1,e_2\</w:t>
      </w:r>
      <w:proofErr w:type="spellStart"/>
      <w:r w:rsidRPr="00384F1F">
        <w:rPr>
          <w:rFonts w:ascii="Times New Roman" w:hAnsi="Times New Roman" w:cs="Times New Roman"/>
          <w:sz w:val="20"/>
          <w:szCs w:val="20"/>
        </w:rPr>
        <w:t>rangle_E</w:t>
      </w:r>
      <w:proofErr w:type="spellEnd"/>
      <w:r w:rsidRPr="00384F1F">
        <w:rPr>
          <w:rFonts w:ascii="Times New Roman" w:hAnsi="Times New Roman" w:cs="Times New Roman"/>
          <w:sz w:val="20"/>
          <w:szCs w:val="20"/>
        </w:rPr>
        <w:t xml:space="preserve"> := \</w:t>
      </w:r>
      <w:proofErr w:type="spellStart"/>
      <w:r w:rsidRPr="00384F1F">
        <w:rPr>
          <w:rFonts w:ascii="Times New Roman" w:hAnsi="Times New Roman" w:cs="Times New Roman"/>
          <w:sz w:val="20"/>
          <w:szCs w:val="20"/>
        </w:rPr>
        <w:t>sum_i</w:t>
      </w:r>
      <w:proofErr w:type="spellEnd"/>
      <w:r w:rsidRPr="00384F1F">
        <w:rPr>
          <w:rFonts w:ascii="Times New Roman" w:hAnsi="Times New Roman" w:cs="Times New Roman"/>
          <w:sz w:val="20"/>
          <w:szCs w:val="20"/>
        </w:rPr>
        <w:t xml:space="preserve"> w_i(\mathrm{Ev}_i),\langle\mathrm{Emb}(e_1),\mathrm{Emb}(e_2)\rangle, ] with normalized positive weights (</w:t>
      </w:r>
      <w:proofErr w:type="spellStart"/>
      <w:r w:rsidRPr="00384F1F">
        <w:rPr>
          <w:rFonts w:ascii="Times New Roman" w:hAnsi="Times New Roman" w:cs="Times New Roman"/>
          <w:sz w:val="20"/>
          <w:szCs w:val="20"/>
        </w:rPr>
        <w:t>w_i</w:t>
      </w:r>
      <w:proofErr w:type="spellEnd"/>
      <w:r w:rsidRPr="00384F1F">
        <w:rPr>
          <w:rFonts w:ascii="Times New Roman" w:hAnsi="Times New Roman" w:cs="Times New Roman"/>
          <w:sz w:val="20"/>
          <w:szCs w:val="20"/>
        </w:rPr>
        <w:t>). For finite or appropriately bounded evidence sets this induces a pre</w:t>
      </w:r>
      <w:r w:rsidRPr="00384F1F">
        <w:rPr>
          <w:rFonts w:ascii="Times New Roman" w:hAnsi="Times New Roman" w:cs="Times New Roman"/>
          <w:sz w:val="20"/>
          <w:szCs w:val="20"/>
        </w:rPr>
        <w:noBreakHyphen/>
        <w:t>Hilbert structure on SRS.</w:t>
      </w:r>
    </w:p>
    <w:p w14:paraId="1D50FD4F"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33B47078">
          <v:rect id="_x0000_i1093" style="width:0;height:1.5pt" o:hralign="center" o:hrstd="t" o:hr="t" fillcolor="#a0a0a0" stroked="f"/>
        </w:pict>
      </w:r>
    </w:p>
    <w:p w14:paraId="47127B91"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III. Semantic Data Normal Forms (SDNF)</w:t>
      </w:r>
    </w:p>
    <w:p w14:paraId="2B1B4889"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Each NF targets a semantic anomaly with a formal constraint, validation metric, and remediation.</w:t>
      </w:r>
    </w:p>
    <w:p w14:paraId="50BA87F6"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A. EENF — Entity Embedding Normal Form (stability)</w:t>
      </w:r>
    </w:p>
    <w:p w14:paraId="1EFEBA31"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Constraint:</w:t>
      </w:r>
      <w:r w:rsidRPr="00384F1F">
        <w:rPr>
          <w:rFonts w:ascii="Times New Roman" w:hAnsi="Times New Roman" w:cs="Times New Roman"/>
          <w:sz w:val="20"/>
          <w:szCs w:val="20"/>
        </w:rPr>
        <w:t xml:space="preserve"> For entity (e) in context (c), [ \</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Var}\big({\</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Emb}^g(</w:t>
      </w:r>
      <w:proofErr w:type="gramStart"/>
      <w:r w:rsidRPr="00384F1F">
        <w:rPr>
          <w:rFonts w:ascii="Times New Roman" w:hAnsi="Times New Roman" w:cs="Times New Roman"/>
          <w:sz w:val="20"/>
          <w:szCs w:val="20"/>
        </w:rPr>
        <w:t>e,c)}</w:t>
      </w:r>
      <w:r w:rsidRPr="00384F1F">
        <w:rPr>
          <w:rFonts w:ascii="Times New Roman" w:hAnsi="Times New Roman" w:cs="Times New Roman"/>
          <w:i/>
          <w:iCs/>
          <w:sz w:val="20"/>
          <w:szCs w:val="20"/>
        </w:rPr>
        <w:t>{</w:t>
      </w:r>
      <w:proofErr w:type="gramEnd"/>
      <w:r w:rsidRPr="00384F1F">
        <w:rPr>
          <w:rFonts w:ascii="Times New Roman" w:hAnsi="Times New Roman" w:cs="Times New Roman"/>
          <w:i/>
          <w:iCs/>
          <w:sz w:val="20"/>
          <w:szCs w:val="20"/>
        </w:rPr>
        <w:t>g=</w:t>
      </w:r>
      <w:proofErr w:type="gramStart"/>
      <w:r w:rsidRPr="00384F1F">
        <w:rPr>
          <w:rFonts w:ascii="Times New Roman" w:hAnsi="Times New Roman" w:cs="Times New Roman"/>
          <w:i/>
          <w:iCs/>
          <w:sz w:val="20"/>
          <w:szCs w:val="20"/>
        </w:rPr>
        <w:t>1}^</w:t>
      </w:r>
      <w:proofErr w:type="gramEnd"/>
      <w:r w:rsidRPr="00384F1F">
        <w:rPr>
          <w:rFonts w:ascii="Times New Roman" w:hAnsi="Times New Roman" w:cs="Times New Roman"/>
          <w:i/>
          <w:iCs/>
          <w:sz w:val="20"/>
          <w:szCs w:val="20"/>
        </w:rPr>
        <w:t>G\</w:t>
      </w:r>
      <w:proofErr w:type="gramStart"/>
      <w:r w:rsidRPr="00384F1F">
        <w:rPr>
          <w:rFonts w:ascii="Times New Roman" w:hAnsi="Times New Roman" w:cs="Times New Roman"/>
          <w:i/>
          <w:iCs/>
          <w:sz w:val="20"/>
          <w:szCs w:val="20"/>
        </w:rPr>
        <w:t>big)\le\tau</w:t>
      </w:r>
      <w:proofErr w:type="gramEnd"/>
      <w:r w:rsidRPr="00384F1F">
        <w:rPr>
          <w:rFonts w:ascii="Times New Roman" w:hAnsi="Times New Roman" w:cs="Times New Roman"/>
          <w:sz w:val="20"/>
          <w:szCs w:val="20"/>
        </w:rPr>
        <w:t>{\</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EENF}}</w:t>
      </w:r>
      <w:proofErr w:type="gramStart"/>
      <w:r w:rsidRPr="00384F1F">
        <w:rPr>
          <w:rFonts w:ascii="Times New Roman" w:hAnsi="Times New Roman" w:cs="Times New Roman"/>
          <w:sz w:val="20"/>
          <w:szCs w:val="20"/>
        </w:rPr>
        <w:t>. ]</w:t>
      </w:r>
      <w:proofErr w:type="gramEnd"/>
      <w:r w:rsidRPr="00384F1F">
        <w:rPr>
          <w:rFonts w:ascii="Times New Roman" w:hAnsi="Times New Roman" w:cs="Times New Roman"/>
          <w:sz w:val="20"/>
          <w:szCs w:val="20"/>
        </w:rPr>
        <w:t xml:space="preserve"> </w:t>
      </w:r>
      <w:r w:rsidRPr="00384F1F">
        <w:rPr>
          <w:rFonts w:ascii="Times New Roman" w:hAnsi="Times New Roman" w:cs="Times New Roman"/>
          <w:b/>
          <w:bCs/>
          <w:sz w:val="20"/>
          <w:szCs w:val="20"/>
        </w:rPr>
        <w:t>Action:</w:t>
      </w:r>
      <w:r w:rsidRPr="00384F1F">
        <w:rPr>
          <w:rFonts w:ascii="Times New Roman" w:hAnsi="Times New Roman" w:cs="Times New Roman"/>
          <w:sz w:val="20"/>
          <w:szCs w:val="20"/>
        </w:rPr>
        <w:t xml:space="preserve"> Quarantine unstable entities; increase regenerations (G), apply deterministic seeding, or select a more stable encoder.</w:t>
      </w:r>
    </w:p>
    <w:p w14:paraId="2D39AAC4"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B. AANF — Attribute Alias Normal Form (alias detection)</w:t>
      </w:r>
    </w:p>
    <w:p w14:paraId="1858E730"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Constraint:</w:t>
      </w:r>
      <w:r w:rsidRPr="00384F1F">
        <w:rPr>
          <w:rFonts w:ascii="Times New Roman" w:hAnsi="Times New Roman" w:cs="Times New Roman"/>
          <w:sz w:val="20"/>
          <w:szCs w:val="20"/>
        </w:rPr>
        <w:t xml:space="preserve"> Attributes (</w:t>
      </w:r>
      <w:proofErr w:type="spellStart"/>
      <w:r w:rsidRPr="00384F1F">
        <w:rPr>
          <w:rFonts w:ascii="Times New Roman" w:hAnsi="Times New Roman" w:cs="Times New Roman"/>
          <w:sz w:val="20"/>
          <w:szCs w:val="20"/>
        </w:rPr>
        <w:t>a,b</w:t>
      </w:r>
      <w:proofErr w:type="spellEnd"/>
      <w:r w:rsidRPr="00384F1F">
        <w:rPr>
          <w:rFonts w:ascii="Times New Roman" w:hAnsi="Times New Roman" w:cs="Times New Roman"/>
          <w:sz w:val="20"/>
          <w:szCs w:val="20"/>
        </w:rPr>
        <w:t>) are aliases if [ \cos(\mathrm{Emb}(a,c_a),\mathrm{Emb}(b,c_b))\ge\tau_{\mathrm{AANF}} ] and (\</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ontology_root</w:t>
      </w:r>
      <w:proofErr w:type="spellEnd"/>
      <w:r w:rsidRPr="00384F1F">
        <w:rPr>
          <w:rFonts w:ascii="Times New Roman" w:hAnsi="Times New Roman" w:cs="Times New Roman"/>
          <w:sz w:val="20"/>
          <w:szCs w:val="20"/>
        </w:rPr>
        <w:t>}(a)=\</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ontology_root</w:t>
      </w:r>
      <w:proofErr w:type="spellEnd"/>
      <w:r w:rsidRPr="00384F1F">
        <w:rPr>
          <w:rFonts w:ascii="Times New Roman" w:hAnsi="Times New Roman" w:cs="Times New Roman"/>
          <w:sz w:val="20"/>
          <w:szCs w:val="20"/>
        </w:rPr>
        <w:t>}(b)) and (|\</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EvidenceSet</w:t>
      </w:r>
      <w:proofErr w:type="spellEnd"/>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a,b</w:t>
      </w:r>
      <w:proofErr w:type="spellEnd"/>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ge</w:t>
      </w:r>
      <w:proofErr w:type="spellEnd"/>
      <w:r w:rsidRPr="00384F1F">
        <w:rPr>
          <w:rFonts w:ascii="Times New Roman" w:hAnsi="Times New Roman" w:cs="Times New Roman"/>
          <w:sz w:val="20"/>
          <w:szCs w:val="20"/>
        </w:rPr>
        <w:t xml:space="preserve"> m_{\min}). </w:t>
      </w:r>
      <w:r w:rsidRPr="00384F1F">
        <w:rPr>
          <w:rFonts w:ascii="Times New Roman" w:hAnsi="Times New Roman" w:cs="Times New Roman"/>
          <w:b/>
          <w:bCs/>
          <w:sz w:val="20"/>
          <w:szCs w:val="20"/>
        </w:rPr>
        <w:t>Action:</w:t>
      </w:r>
      <w:r w:rsidRPr="00384F1F">
        <w:rPr>
          <w:rFonts w:ascii="Times New Roman" w:hAnsi="Times New Roman" w:cs="Times New Roman"/>
          <w:sz w:val="20"/>
          <w:szCs w:val="20"/>
        </w:rPr>
        <w:t xml:space="preserve"> Auto</w:t>
      </w:r>
      <w:r w:rsidRPr="00384F1F">
        <w:rPr>
          <w:rFonts w:ascii="Times New Roman" w:hAnsi="Times New Roman" w:cs="Times New Roman"/>
          <w:sz w:val="20"/>
          <w:szCs w:val="20"/>
        </w:rPr>
        <w:noBreakHyphen/>
        <w:t>merge when ECNF evidence thresholds are met; otherwise defer.</w:t>
      </w:r>
    </w:p>
    <w:p w14:paraId="25A9E8F1"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C. CMNF — Context Modulation Normal Form (context isolation)</w:t>
      </w:r>
    </w:p>
    <w:p w14:paraId="025A2A7D"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Constraint:</w:t>
      </w:r>
      <w:r w:rsidRPr="00384F1F">
        <w:rPr>
          <w:rFonts w:ascii="Times New Roman" w:hAnsi="Times New Roman" w:cs="Times New Roman"/>
          <w:sz w:val="20"/>
          <w:szCs w:val="20"/>
        </w:rPr>
        <w:t xml:space="preserve"> For primitive (p) in contexts (c_</w:t>
      </w:r>
      <w:proofErr w:type="gramStart"/>
      <w:r w:rsidRPr="00384F1F">
        <w:rPr>
          <w:rFonts w:ascii="Times New Roman" w:hAnsi="Times New Roman" w:cs="Times New Roman"/>
          <w:sz w:val="20"/>
          <w:szCs w:val="20"/>
        </w:rPr>
        <w:t>1,c</w:t>
      </w:r>
      <w:proofErr w:type="gramEnd"/>
      <w:r w:rsidRPr="00384F1F">
        <w:rPr>
          <w:rFonts w:ascii="Times New Roman" w:hAnsi="Times New Roman" w:cs="Times New Roman"/>
          <w:sz w:val="20"/>
          <w:szCs w:val="20"/>
        </w:rPr>
        <w:t>_2), [ \</w:t>
      </w:r>
      <w:proofErr w:type="spellStart"/>
      <w:r w:rsidRPr="00384F1F">
        <w:rPr>
          <w:rFonts w:ascii="Times New Roman" w:hAnsi="Times New Roman" w:cs="Times New Roman"/>
          <w:sz w:val="20"/>
          <w:szCs w:val="20"/>
        </w:rPr>
        <w:t>langle</w:t>
      </w:r>
      <w:proofErr w:type="spellEnd"/>
      <w:r w:rsidRPr="00384F1F">
        <w:rPr>
          <w:rFonts w:ascii="Times New Roman" w:hAnsi="Times New Roman" w:cs="Times New Roman"/>
          <w:sz w:val="20"/>
          <w:szCs w:val="20"/>
        </w:rPr>
        <w:t xml:space="preserve"> \</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Proj}</w:t>
      </w:r>
      <w:r w:rsidRPr="00384F1F">
        <w:rPr>
          <w:rFonts w:ascii="Times New Roman" w:hAnsi="Times New Roman" w:cs="Times New Roman"/>
          <w:i/>
          <w:iCs/>
          <w:sz w:val="20"/>
          <w:szCs w:val="20"/>
        </w:rPr>
        <w:t>{c_</w:t>
      </w:r>
      <w:proofErr w:type="gramStart"/>
      <w:r w:rsidRPr="00384F1F">
        <w:rPr>
          <w:rFonts w:ascii="Times New Roman" w:hAnsi="Times New Roman" w:cs="Times New Roman"/>
          <w:i/>
          <w:iCs/>
          <w:sz w:val="20"/>
          <w:szCs w:val="20"/>
        </w:rPr>
        <w:t>1}(</w:t>
      </w:r>
      <w:proofErr w:type="gramEnd"/>
      <w:r w:rsidRPr="00384F1F">
        <w:rPr>
          <w:rFonts w:ascii="Times New Roman" w:hAnsi="Times New Roman" w:cs="Times New Roman"/>
          <w:i/>
          <w:iCs/>
          <w:sz w:val="20"/>
          <w:szCs w:val="20"/>
        </w:rPr>
        <w:t>\</w:t>
      </w:r>
      <w:proofErr w:type="gramStart"/>
      <w:r w:rsidRPr="00384F1F">
        <w:rPr>
          <w:rFonts w:ascii="Times New Roman" w:hAnsi="Times New Roman" w:cs="Times New Roman"/>
          <w:i/>
          <w:iCs/>
          <w:sz w:val="20"/>
          <w:szCs w:val="20"/>
        </w:rPr>
        <w:t>mathrm{</w:t>
      </w:r>
      <w:proofErr w:type="gramEnd"/>
      <w:r w:rsidRPr="00384F1F">
        <w:rPr>
          <w:rFonts w:ascii="Times New Roman" w:hAnsi="Times New Roman" w:cs="Times New Roman"/>
          <w:i/>
          <w:iCs/>
          <w:sz w:val="20"/>
          <w:szCs w:val="20"/>
        </w:rPr>
        <w:t>Emb}(</w:t>
      </w:r>
      <w:proofErr w:type="gramStart"/>
      <w:r w:rsidRPr="00384F1F">
        <w:rPr>
          <w:rFonts w:ascii="Times New Roman" w:hAnsi="Times New Roman" w:cs="Times New Roman"/>
          <w:i/>
          <w:iCs/>
          <w:sz w:val="20"/>
          <w:szCs w:val="20"/>
        </w:rPr>
        <w:t>p,c</w:t>
      </w:r>
      <w:proofErr w:type="gramEnd"/>
      <w:r w:rsidRPr="00384F1F">
        <w:rPr>
          <w:rFonts w:ascii="Times New Roman" w:hAnsi="Times New Roman" w:cs="Times New Roman"/>
          <w:i/>
          <w:iCs/>
          <w:sz w:val="20"/>
          <w:szCs w:val="20"/>
        </w:rPr>
        <w:t>_</w:t>
      </w:r>
      <w:proofErr w:type="gramStart"/>
      <w:r w:rsidRPr="00384F1F">
        <w:rPr>
          <w:rFonts w:ascii="Times New Roman" w:hAnsi="Times New Roman" w:cs="Times New Roman"/>
          <w:i/>
          <w:iCs/>
          <w:sz w:val="20"/>
          <w:szCs w:val="20"/>
        </w:rPr>
        <w:t>1)),,</w:t>
      </w:r>
      <w:proofErr w:type="gramEnd"/>
      <w:r w:rsidRPr="00384F1F">
        <w:rPr>
          <w:rFonts w:ascii="Times New Roman" w:hAnsi="Times New Roman" w:cs="Times New Roman"/>
          <w:i/>
          <w:iCs/>
          <w:sz w:val="20"/>
          <w:szCs w:val="20"/>
        </w:rPr>
        <w:t>\</w:t>
      </w:r>
      <w:proofErr w:type="gramStart"/>
      <w:r w:rsidRPr="00384F1F">
        <w:rPr>
          <w:rFonts w:ascii="Times New Roman" w:hAnsi="Times New Roman" w:cs="Times New Roman"/>
          <w:i/>
          <w:iCs/>
          <w:sz w:val="20"/>
          <w:szCs w:val="20"/>
        </w:rPr>
        <w:t>mathrm{</w:t>
      </w:r>
      <w:proofErr w:type="gramEnd"/>
      <w:r w:rsidRPr="00384F1F">
        <w:rPr>
          <w:rFonts w:ascii="Times New Roman" w:hAnsi="Times New Roman" w:cs="Times New Roman"/>
          <w:i/>
          <w:iCs/>
          <w:sz w:val="20"/>
          <w:szCs w:val="20"/>
        </w:rPr>
        <w:t>Proj}</w:t>
      </w:r>
      <w:r w:rsidRPr="00384F1F">
        <w:rPr>
          <w:rFonts w:ascii="Times New Roman" w:hAnsi="Times New Roman" w:cs="Times New Roman"/>
          <w:sz w:val="20"/>
          <w:szCs w:val="20"/>
        </w:rPr>
        <w:t>{c_</w:t>
      </w:r>
      <w:proofErr w:type="gramStart"/>
      <w:r w:rsidRPr="00384F1F">
        <w:rPr>
          <w:rFonts w:ascii="Times New Roman" w:hAnsi="Times New Roman" w:cs="Times New Roman"/>
          <w:sz w:val="20"/>
          <w:szCs w:val="20"/>
        </w:rPr>
        <w:t>2}(</w:t>
      </w:r>
      <w:proofErr w:type="gramEnd"/>
      <w:r w:rsidRPr="00384F1F">
        <w:rPr>
          <w:rFonts w:ascii="Times New Roman" w:hAnsi="Times New Roman" w:cs="Times New Roman"/>
          <w:sz w:val="20"/>
          <w:szCs w:val="20"/>
        </w:rPr>
        <w:t>\</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Emb}(</w:t>
      </w:r>
      <w:proofErr w:type="gramStart"/>
      <w:r w:rsidRPr="00384F1F">
        <w:rPr>
          <w:rFonts w:ascii="Times New Roman" w:hAnsi="Times New Roman" w:cs="Times New Roman"/>
          <w:sz w:val="20"/>
          <w:szCs w:val="20"/>
        </w:rPr>
        <w:t>p,c</w:t>
      </w:r>
      <w:proofErr w:type="gramEnd"/>
      <w:r w:rsidRPr="00384F1F">
        <w:rPr>
          <w:rFonts w:ascii="Times New Roman" w:hAnsi="Times New Roman" w:cs="Times New Roman"/>
          <w:sz w:val="20"/>
          <w:szCs w:val="20"/>
        </w:rPr>
        <w:t>_2</w:t>
      </w:r>
      <w:proofErr w:type="gramStart"/>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rangle \le \tau_{\</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CMNF}}</w:t>
      </w:r>
      <w:proofErr w:type="gramStart"/>
      <w:r w:rsidRPr="00384F1F">
        <w:rPr>
          <w:rFonts w:ascii="Times New Roman" w:hAnsi="Times New Roman" w:cs="Times New Roman"/>
          <w:sz w:val="20"/>
          <w:szCs w:val="20"/>
        </w:rPr>
        <w:t>. ]</w:t>
      </w:r>
      <w:proofErr w:type="gramEnd"/>
      <w:r w:rsidRPr="00384F1F">
        <w:rPr>
          <w:rFonts w:ascii="Times New Roman" w:hAnsi="Times New Roman" w:cs="Times New Roman"/>
          <w:sz w:val="20"/>
          <w:szCs w:val="20"/>
        </w:rPr>
        <w:t xml:space="preserve"> </w:t>
      </w:r>
      <w:r w:rsidRPr="00384F1F">
        <w:rPr>
          <w:rFonts w:ascii="Times New Roman" w:hAnsi="Times New Roman" w:cs="Times New Roman"/>
          <w:b/>
          <w:bCs/>
          <w:sz w:val="20"/>
          <w:szCs w:val="20"/>
        </w:rPr>
        <w:t>Action:</w:t>
      </w:r>
      <w:r w:rsidRPr="00384F1F">
        <w:rPr>
          <w:rFonts w:ascii="Times New Roman" w:hAnsi="Times New Roman" w:cs="Times New Roman"/>
          <w:sz w:val="20"/>
          <w:szCs w:val="20"/>
        </w:rPr>
        <w:t xml:space="preserve"> Retrain or re</w:t>
      </w:r>
      <w:r w:rsidRPr="00384F1F">
        <w:rPr>
          <w:rFonts w:ascii="Times New Roman" w:hAnsi="Times New Roman" w:cs="Times New Roman"/>
          <w:sz w:val="20"/>
          <w:szCs w:val="20"/>
        </w:rPr>
        <w:noBreakHyphen/>
        <w:t>estimate projections; flag contamination.</w:t>
      </w:r>
    </w:p>
    <w:p w14:paraId="581CB515"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D. DBNF — Drift</w:t>
      </w:r>
      <w:r w:rsidRPr="00384F1F">
        <w:rPr>
          <w:rFonts w:ascii="Times New Roman" w:hAnsi="Times New Roman" w:cs="Times New Roman"/>
          <w:b/>
          <w:bCs/>
          <w:sz w:val="20"/>
          <w:szCs w:val="20"/>
        </w:rPr>
        <w:noBreakHyphen/>
        <w:t>Bounded Normal Form (drift control)</w:t>
      </w:r>
    </w:p>
    <w:p w14:paraId="605BBEE5"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lastRenderedPageBreak/>
        <w:t>Constraint:</w:t>
      </w:r>
      <w:r w:rsidRPr="00384F1F">
        <w:rPr>
          <w:rFonts w:ascii="Times New Roman" w:hAnsi="Times New Roman" w:cs="Times New Roman"/>
          <w:sz w:val="20"/>
          <w:szCs w:val="20"/>
        </w:rPr>
        <w:t xml:space="preserve"> For entity (e) across model versions (v_</w:t>
      </w:r>
      <w:proofErr w:type="gramStart"/>
      <w:r w:rsidRPr="00384F1F">
        <w:rPr>
          <w:rFonts w:ascii="Times New Roman" w:hAnsi="Times New Roman" w:cs="Times New Roman"/>
          <w:sz w:val="20"/>
          <w:szCs w:val="20"/>
        </w:rPr>
        <w:t>1,v</w:t>
      </w:r>
      <w:proofErr w:type="gramEnd"/>
      <w:r w:rsidRPr="00384F1F">
        <w:rPr>
          <w:rFonts w:ascii="Times New Roman" w:hAnsi="Times New Roman" w:cs="Times New Roman"/>
          <w:sz w:val="20"/>
          <w:szCs w:val="20"/>
        </w:rPr>
        <w:t>_2), [ |\</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Emb}(</w:t>
      </w:r>
      <w:proofErr w:type="gramStart"/>
      <w:r w:rsidRPr="00384F1F">
        <w:rPr>
          <w:rFonts w:ascii="Times New Roman" w:hAnsi="Times New Roman" w:cs="Times New Roman"/>
          <w:sz w:val="20"/>
          <w:szCs w:val="20"/>
        </w:rPr>
        <w:t>e,v</w:t>
      </w:r>
      <w:proofErr w:type="gramEnd"/>
      <w:r w:rsidRPr="00384F1F">
        <w:rPr>
          <w:rFonts w:ascii="Times New Roman" w:hAnsi="Times New Roman" w:cs="Times New Roman"/>
          <w:sz w:val="20"/>
          <w:szCs w:val="20"/>
        </w:rPr>
        <w:t>_1)-\</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Emb}(</w:t>
      </w:r>
      <w:proofErr w:type="gramStart"/>
      <w:r w:rsidRPr="00384F1F">
        <w:rPr>
          <w:rFonts w:ascii="Times New Roman" w:hAnsi="Times New Roman" w:cs="Times New Roman"/>
          <w:sz w:val="20"/>
          <w:szCs w:val="20"/>
        </w:rPr>
        <w:t>e,v</w:t>
      </w:r>
      <w:proofErr w:type="gramEnd"/>
      <w:r w:rsidRPr="00384F1F">
        <w:rPr>
          <w:rFonts w:ascii="Times New Roman" w:hAnsi="Times New Roman" w:cs="Times New Roman"/>
          <w:sz w:val="20"/>
          <w:szCs w:val="20"/>
        </w:rPr>
        <w:t>_</w:t>
      </w:r>
      <w:proofErr w:type="gramStart"/>
      <w:r w:rsidRPr="00384F1F">
        <w:rPr>
          <w:rFonts w:ascii="Times New Roman" w:hAnsi="Times New Roman" w:cs="Times New Roman"/>
          <w:sz w:val="20"/>
          <w:szCs w:val="20"/>
        </w:rPr>
        <w:t>2)|</w:t>
      </w:r>
      <w:proofErr w:type="gramEnd"/>
      <w:r w:rsidRPr="00384F1F">
        <w:rPr>
          <w:rFonts w:ascii="Times New Roman" w:hAnsi="Times New Roman" w:cs="Times New Roman"/>
          <w:sz w:val="20"/>
          <w:szCs w:val="20"/>
        </w:rPr>
        <w:t>\le\tau_{\</w:t>
      </w:r>
      <w:proofErr w:type="gramStart"/>
      <w:r w:rsidRPr="00384F1F">
        <w:rPr>
          <w:rFonts w:ascii="Times New Roman" w:hAnsi="Times New Roman" w:cs="Times New Roman"/>
          <w:sz w:val="20"/>
          <w:szCs w:val="20"/>
        </w:rPr>
        <w:t>mathrm{</w:t>
      </w:r>
      <w:proofErr w:type="gramEnd"/>
      <w:r w:rsidRPr="00384F1F">
        <w:rPr>
          <w:rFonts w:ascii="Times New Roman" w:hAnsi="Times New Roman" w:cs="Times New Roman"/>
          <w:sz w:val="20"/>
          <w:szCs w:val="20"/>
        </w:rPr>
        <w:t>DBNF}}</w:t>
      </w:r>
      <w:proofErr w:type="gramStart"/>
      <w:r w:rsidRPr="00384F1F">
        <w:rPr>
          <w:rFonts w:ascii="Times New Roman" w:hAnsi="Times New Roman" w:cs="Times New Roman"/>
          <w:sz w:val="20"/>
          <w:szCs w:val="20"/>
        </w:rPr>
        <w:t>. ]</w:t>
      </w:r>
      <w:proofErr w:type="gramEnd"/>
      <w:r w:rsidRPr="00384F1F">
        <w:rPr>
          <w:rFonts w:ascii="Times New Roman" w:hAnsi="Times New Roman" w:cs="Times New Roman"/>
          <w:sz w:val="20"/>
          <w:szCs w:val="20"/>
        </w:rPr>
        <w:t xml:space="preserve"> </w:t>
      </w:r>
      <w:r w:rsidRPr="00384F1F">
        <w:rPr>
          <w:rFonts w:ascii="Times New Roman" w:hAnsi="Times New Roman" w:cs="Times New Roman"/>
          <w:b/>
          <w:bCs/>
          <w:sz w:val="20"/>
          <w:szCs w:val="20"/>
        </w:rPr>
        <w:t>Action:</w:t>
      </w:r>
      <w:r w:rsidRPr="00384F1F">
        <w:rPr>
          <w:rFonts w:ascii="Times New Roman" w:hAnsi="Times New Roman" w:cs="Times New Roman"/>
          <w:sz w:val="20"/>
          <w:szCs w:val="20"/>
        </w:rPr>
        <w:t xml:space="preserve"> Fork versions when drift exceeds threshold; preserve historical semantics.</w:t>
      </w:r>
    </w:p>
    <w:p w14:paraId="3AB746FC"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E. ECNF — Evidence Completeness Normal Form (explainability)</w:t>
      </w:r>
    </w:p>
    <w:p w14:paraId="242B0BB0"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Constraint:</w:t>
      </w:r>
      <w:r w:rsidRPr="00384F1F">
        <w:rPr>
          <w:rFonts w:ascii="Times New Roman" w:hAnsi="Times New Roman" w:cs="Times New Roman"/>
          <w:sz w:val="20"/>
          <w:szCs w:val="20"/>
        </w:rPr>
        <w:t xml:space="preserve"> Operation (O) permitted only if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EvidenceSet</w:t>
      </w:r>
      <w:proofErr w:type="spellEnd"/>
      <w:r w:rsidRPr="00384F1F">
        <w:rPr>
          <w:rFonts w:ascii="Times New Roman" w:hAnsi="Times New Roman" w:cs="Times New Roman"/>
          <w:sz w:val="20"/>
          <w:szCs w:val="20"/>
        </w:rPr>
        <w:t>}(O)|\</w:t>
      </w:r>
      <w:proofErr w:type="spellStart"/>
      <w:r w:rsidRPr="00384F1F">
        <w:rPr>
          <w:rFonts w:ascii="Times New Roman" w:hAnsi="Times New Roman" w:cs="Times New Roman"/>
          <w:sz w:val="20"/>
          <w:szCs w:val="20"/>
        </w:rPr>
        <w:t>ge</w:t>
      </w:r>
      <w:proofErr w:type="spellEnd"/>
      <w:r w:rsidRPr="00384F1F">
        <w:rPr>
          <w:rFonts w:ascii="Times New Roman" w:hAnsi="Times New Roman" w:cs="Times New Roman"/>
          <w:sz w:val="20"/>
          <w:szCs w:val="20"/>
        </w:rPr>
        <w:t xml:space="preserve"> m_{\min}) and (\</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aggregate_</w:t>
      </w:r>
      <w:proofErr w:type="gramStart"/>
      <w:r w:rsidRPr="00384F1F">
        <w:rPr>
          <w:rFonts w:ascii="Times New Roman" w:hAnsi="Times New Roman" w:cs="Times New Roman"/>
          <w:sz w:val="20"/>
          <w:szCs w:val="20"/>
        </w:rPr>
        <w:t>score</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EvidenceSet</w:t>
      </w:r>
      <w:proofErr w:type="spellEnd"/>
      <w:r w:rsidRPr="00384F1F">
        <w:rPr>
          <w:rFonts w:ascii="Times New Roman" w:hAnsi="Times New Roman" w:cs="Times New Roman"/>
          <w:sz w:val="20"/>
          <w:szCs w:val="20"/>
        </w:rPr>
        <w:t>}(O</w:t>
      </w:r>
      <w:proofErr w:type="gramStart"/>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ge</w:t>
      </w:r>
      <w:proofErr w:type="spellEnd"/>
      <w:r w:rsidRPr="00384F1F">
        <w:rPr>
          <w:rFonts w:ascii="Times New Roman" w:hAnsi="Times New Roman" w:cs="Times New Roman"/>
          <w:sz w:val="20"/>
          <w:szCs w:val="20"/>
        </w:rPr>
        <w:t>\gamma</w:t>
      </w:r>
      <w:proofErr w:type="gramEnd"/>
      <w:r w:rsidRPr="00384F1F">
        <w:rPr>
          <w:rFonts w:ascii="Times New Roman" w:hAnsi="Times New Roman" w:cs="Times New Roman"/>
          <w:sz w:val="20"/>
          <w:szCs w:val="20"/>
        </w:rPr>
        <w:t xml:space="preserve">). </w:t>
      </w:r>
      <w:r w:rsidRPr="00384F1F">
        <w:rPr>
          <w:rFonts w:ascii="Times New Roman" w:hAnsi="Times New Roman" w:cs="Times New Roman"/>
          <w:b/>
          <w:bCs/>
          <w:sz w:val="20"/>
          <w:szCs w:val="20"/>
        </w:rPr>
        <w:t>Action:</w:t>
      </w:r>
      <w:r w:rsidRPr="00384F1F">
        <w:rPr>
          <w:rFonts w:ascii="Times New Roman" w:hAnsi="Times New Roman" w:cs="Times New Roman"/>
          <w:sz w:val="20"/>
          <w:szCs w:val="20"/>
        </w:rPr>
        <w:t xml:space="preserve"> Auto</w:t>
      </w:r>
      <w:r w:rsidRPr="00384F1F">
        <w:rPr>
          <w:rFonts w:ascii="Times New Roman" w:hAnsi="Times New Roman" w:cs="Times New Roman"/>
          <w:sz w:val="20"/>
          <w:szCs w:val="20"/>
        </w:rPr>
        <w:noBreakHyphen/>
        <w:t>merge if satisfied; otherwise defer to human review.</w:t>
      </w:r>
      <w:r w:rsidRPr="00384F1F">
        <w:rPr>
          <w:rFonts w:ascii="Times New Roman" w:hAnsi="Times New Roman" w:cs="Times New Roman"/>
          <w:sz w:val="20"/>
          <w:szCs w:val="20"/>
        </w:rPr>
        <w:br/>
      </w:r>
      <w:r w:rsidRPr="00384F1F">
        <w:rPr>
          <w:rFonts w:ascii="Times New Roman" w:hAnsi="Times New Roman" w:cs="Times New Roman"/>
          <w:b/>
          <w:bCs/>
          <w:sz w:val="20"/>
          <w:szCs w:val="20"/>
        </w:rPr>
        <w:t>Practical note:</w:t>
      </w:r>
      <w:r w:rsidRPr="00384F1F">
        <w:rPr>
          <w:rFonts w:ascii="Times New Roman" w:hAnsi="Times New Roman" w:cs="Times New Roman"/>
          <w:sz w:val="20"/>
          <w:szCs w:val="20"/>
        </w:rPr>
        <w:t xml:space="preserve"> value evidence is often missing (27.6% in our dataset); the governance pipeline falls back to hybrid evidence (name + ontology + </w:t>
      </w:r>
      <w:proofErr w:type="spellStart"/>
      <w:r w:rsidRPr="00384F1F">
        <w:rPr>
          <w:rFonts w:ascii="Times New Roman" w:hAnsi="Times New Roman" w:cs="Times New Roman"/>
          <w:sz w:val="20"/>
          <w:szCs w:val="20"/>
        </w:rPr>
        <w:t>vss</w:t>
      </w:r>
      <w:proofErr w:type="spellEnd"/>
      <w:r w:rsidRPr="00384F1F">
        <w:rPr>
          <w:rFonts w:ascii="Times New Roman" w:hAnsi="Times New Roman" w:cs="Times New Roman"/>
          <w:sz w:val="20"/>
          <w:szCs w:val="20"/>
        </w:rPr>
        <w:t xml:space="preserve"> + shape + embeddings) to preserve precision while recovering recall (see §VII and Appendix C).</w:t>
      </w:r>
    </w:p>
    <w:p w14:paraId="226C261F"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F. RRNF &amp; PONF (roles and partition orthogonality)</w:t>
      </w:r>
    </w:p>
    <w:p w14:paraId="29FF3C2B" w14:textId="77777777" w:rsidR="00384F1F" w:rsidRPr="00384F1F" w:rsidRDefault="00384F1F" w:rsidP="00384F1F">
      <w:pPr>
        <w:numPr>
          <w:ilvl w:val="0"/>
          <w:numId w:val="17"/>
        </w:numPr>
        <w:rPr>
          <w:rFonts w:ascii="Times New Roman" w:hAnsi="Times New Roman" w:cs="Times New Roman"/>
          <w:sz w:val="20"/>
          <w:szCs w:val="20"/>
        </w:rPr>
      </w:pPr>
      <w:r w:rsidRPr="00384F1F">
        <w:rPr>
          <w:rFonts w:ascii="Times New Roman" w:hAnsi="Times New Roman" w:cs="Times New Roman"/>
          <w:b/>
          <w:bCs/>
          <w:sz w:val="20"/>
          <w:szCs w:val="20"/>
        </w:rPr>
        <w:t>RRNF:</w:t>
      </w:r>
      <w:r w:rsidRPr="00384F1F">
        <w:rPr>
          <w:rFonts w:ascii="Times New Roman" w:hAnsi="Times New Roman" w:cs="Times New Roman"/>
          <w:sz w:val="20"/>
          <w:szCs w:val="20"/>
        </w:rPr>
        <w:t xml:space="preserve"> Enforce role consistency in relations to prevent invalid transitive inferences.</w:t>
      </w:r>
    </w:p>
    <w:p w14:paraId="3FB40D58" w14:textId="77777777" w:rsidR="00384F1F" w:rsidRPr="00384F1F" w:rsidRDefault="00384F1F" w:rsidP="00384F1F">
      <w:pPr>
        <w:numPr>
          <w:ilvl w:val="0"/>
          <w:numId w:val="17"/>
        </w:numPr>
        <w:rPr>
          <w:rFonts w:ascii="Times New Roman" w:hAnsi="Times New Roman" w:cs="Times New Roman"/>
          <w:sz w:val="20"/>
          <w:szCs w:val="20"/>
        </w:rPr>
      </w:pPr>
      <w:r w:rsidRPr="00384F1F">
        <w:rPr>
          <w:rFonts w:ascii="Times New Roman" w:hAnsi="Times New Roman" w:cs="Times New Roman"/>
          <w:b/>
          <w:bCs/>
          <w:sz w:val="20"/>
          <w:szCs w:val="20"/>
        </w:rPr>
        <w:t>PONF:</w:t>
      </w:r>
      <w:r w:rsidRPr="00384F1F">
        <w:rPr>
          <w:rFonts w:ascii="Times New Roman" w:hAnsi="Times New Roman" w:cs="Times New Roman"/>
          <w:sz w:val="20"/>
          <w:szCs w:val="20"/>
        </w:rPr>
        <w:t xml:space="preserve"> Maintain orthogonality of semantic partitions; re</w:t>
      </w:r>
      <w:r w:rsidRPr="00384F1F">
        <w:rPr>
          <w:rFonts w:ascii="Times New Roman" w:hAnsi="Times New Roman" w:cs="Times New Roman"/>
          <w:sz w:val="20"/>
          <w:szCs w:val="20"/>
        </w:rPr>
        <w:noBreakHyphen/>
        <w:t>partition when overlap (&gt;\tau_{\</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PONF}}).</w:t>
      </w:r>
    </w:p>
    <w:p w14:paraId="7970CCFF"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2C4B6E22">
          <v:rect id="_x0000_i1094" style="width:0;height:1.5pt" o:hralign="center" o:hrstd="t" o:hr="t" fillcolor="#a0a0a0" stroked="f"/>
        </w:pict>
      </w:r>
    </w:p>
    <w:p w14:paraId="77753F48"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IV. Mathematical Analysis</w:t>
      </w:r>
    </w:p>
    <w:p w14:paraId="680995AE"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A. Assumptions (explicit)</w:t>
      </w:r>
    </w:p>
    <w:p w14:paraId="52C01D09" w14:textId="77777777" w:rsidR="00384F1F" w:rsidRPr="00384F1F" w:rsidRDefault="00384F1F" w:rsidP="00384F1F">
      <w:pPr>
        <w:numPr>
          <w:ilvl w:val="0"/>
          <w:numId w:val="18"/>
        </w:numPr>
        <w:rPr>
          <w:rFonts w:ascii="Times New Roman" w:hAnsi="Times New Roman" w:cs="Times New Roman"/>
          <w:sz w:val="20"/>
          <w:szCs w:val="20"/>
        </w:rPr>
      </w:pPr>
      <w:r w:rsidRPr="00384F1F">
        <w:rPr>
          <w:rFonts w:ascii="Times New Roman" w:hAnsi="Times New Roman" w:cs="Times New Roman"/>
          <w:b/>
          <w:bCs/>
          <w:sz w:val="20"/>
          <w:szCs w:val="20"/>
        </w:rPr>
        <w:t>Projection stability (Assumption 1):</w:t>
      </w:r>
      <w:r w:rsidRPr="00384F1F">
        <w:rPr>
          <w:rFonts w:ascii="Times New Roman" w:hAnsi="Times New Roman" w:cs="Times New Roman"/>
          <w:sz w:val="20"/>
          <w:szCs w:val="20"/>
        </w:rPr>
        <w:t xml:space="preserve">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spellStart"/>
      <w:proofErr w:type="gramEnd"/>
      <w:r w:rsidRPr="00384F1F">
        <w:rPr>
          <w:rFonts w:ascii="Times New Roman" w:hAnsi="Times New Roman" w:cs="Times New Roman"/>
          <w:sz w:val="20"/>
          <w:szCs w:val="20"/>
        </w:rPr>
        <w:t>Proj</w:t>
      </w:r>
      <w:proofErr w:type="spellEnd"/>
      <w:r w:rsidRPr="00384F1F">
        <w:rPr>
          <w:rFonts w:ascii="Times New Roman" w:hAnsi="Times New Roman" w:cs="Times New Roman"/>
          <w:sz w:val="20"/>
          <w:szCs w:val="20"/>
        </w:rPr>
        <w:t>}_c) are bounded, approximately idempotent, and stable as defined in §II</w:t>
      </w:r>
      <w:r w:rsidRPr="00384F1F">
        <w:rPr>
          <w:rFonts w:ascii="Times New Roman" w:hAnsi="Times New Roman" w:cs="Times New Roman"/>
          <w:sz w:val="20"/>
          <w:szCs w:val="20"/>
        </w:rPr>
        <w:noBreakHyphen/>
        <w:t>C.</w:t>
      </w:r>
    </w:p>
    <w:p w14:paraId="2F26C088" w14:textId="77777777" w:rsidR="00384F1F" w:rsidRPr="00384F1F" w:rsidRDefault="00384F1F" w:rsidP="00384F1F">
      <w:pPr>
        <w:numPr>
          <w:ilvl w:val="0"/>
          <w:numId w:val="18"/>
        </w:numPr>
        <w:rPr>
          <w:rFonts w:ascii="Times New Roman" w:hAnsi="Times New Roman" w:cs="Times New Roman"/>
          <w:sz w:val="20"/>
          <w:szCs w:val="20"/>
        </w:rPr>
      </w:pPr>
      <w:r w:rsidRPr="00384F1F">
        <w:rPr>
          <w:rFonts w:ascii="Times New Roman" w:hAnsi="Times New Roman" w:cs="Times New Roman"/>
          <w:b/>
          <w:bCs/>
          <w:sz w:val="20"/>
          <w:szCs w:val="20"/>
        </w:rPr>
        <w:t>Embedding Lipschitz (Assumption 2):</w:t>
      </w:r>
      <w:r w:rsidRPr="00384F1F">
        <w:rPr>
          <w:rFonts w:ascii="Times New Roman" w:hAnsi="Times New Roman" w:cs="Times New Roman"/>
          <w:sz w:val="20"/>
          <w:szCs w:val="20"/>
        </w:rPr>
        <w:t xml:space="preserve"> For finite contexts, (\</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Emb}) is Lipschitz (upper bound) and injective on the finite vocabulary, enabling conditional bi</w:t>
      </w:r>
      <w:r w:rsidRPr="00384F1F">
        <w:rPr>
          <w:rFonts w:ascii="Times New Roman" w:hAnsi="Times New Roman" w:cs="Times New Roman"/>
          <w:sz w:val="20"/>
          <w:szCs w:val="20"/>
        </w:rPr>
        <w:noBreakHyphen/>
        <w:t>Lipschitz statements.</w:t>
      </w:r>
    </w:p>
    <w:p w14:paraId="7CB4E836" w14:textId="77777777" w:rsidR="00384F1F" w:rsidRPr="00384F1F" w:rsidRDefault="00384F1F" w:rsidP="00384F1F">
      <w:pPr>
        <w:numPr>
          <w:ilvl w:val="0"/>
          <w:numId w:val="18"/>
        </w:numPr>
        <w:rPr>
          <w:rFonts w:ascii="Times New Roman" w:hAnsi="Times New Roman" w:cs="Times New Roman"/>
          <w:sz w:val="20"/>
          <w:szCs w:val="20"/>
        </w:rPr>
      </w:pPr>
      <w:r w:rsidRPr="00384F1F">
        <w:rPr>
          <w:rFonts w:ascii="Times New Roman" w:hAnsi="Times New Roman" w:cs="Times New Roman"/>
          <w:b/>
          <w:bCs/>
          <w:sz w:val="20"/>
          <w:szCs w:val="20"/>
        </w:rPr>
        <w:t>Subspace model (Assumption 3):</w:t>
      </w:r>
      <w:r w:rsidRPr="00384F1F">
        <w:rPr>
          <w:rFonts w:ascii="Times New Roman" w:hAnsi="Times New Roman" w:cs="Times New Roman"/>
          <w:sz w:val="20"/>
          <w:szCs w:val="20"/>
        </w:rPr>
        <w:t xml:space="preserve"> Embeddings for distinct contexts concentrate in approximately low</w:t>
      </w:r>
      <w:r w:rsidRPr="00384F1F">
        <w:rPr>
          <w:rFonts w:ascii="Times New Roman" w:hAnsi="Times New Roman" w:cs="Times New Roman"/>
          <w:sz w:val="20"/>
          <w:szCs w:val="20"/>
        </w:rPr>
        <w:noBreakHyphen/>
        <w:t>dimensional subspaces; concentration inequalities apply.</w:t>
      </w:r>
    </w:p>
    <w:p w14:paraId="433D5268" w14:textId="77777777" w:rsidR="00384F1F" w:rsidRPr="00384F1F" w:rsidRDefault="00384F1F" w:rsidP="00384F1F">
      <w:pPr>
        <w:numPr>
          <w:ilvl w:val="0"/>
          <w:numId w:val="18"/>
        </w:numPr>
        <w:rPr>
          <w:rFonts w:ascii="Times New Roman" w:hAnsi="Times New Roman" w:cs="Times New Roman"/>
          <w:sz w:val="20"/>
          <w:szCs w:val="20"/>
        </w:rPr>
      </w:pPr>
      <w:r w:rsidRPr="00384F1F">
        <w:rPr>
          <w:rFonts w:ascii="Times New Roman" w:hAnsi="Times New Roman" w:cs="Times New Roman"/>
          <w:b/>
          <w:bCs/>
          <w:sz w:val="20"/>
          <w:szCs w:val="20"/>
        </w:rPr>
        <w:t>Governance descent (Assumption 4):</w:t>
      </w:r>
      <w:r w:rsidRPr="00384F1F">
        <w:rPr>
          <w:rFonts w:ascii="Times New Roman" w:hAnsi="Times New Roman" w:cs="Times New Roman"/>
          <w:sz w:val="20"/>
          <w:szCs w:val="20"/>
        </w:rPr>
        <w:t xml:space="preserve"> The governance pipeline is designed to monotonically decrease a redundancy metric (L(S)) in expectation; discrete decisions are constrained to avoid increases in (L(S)).</w:t>
      </w:r>
    </w:p>
    <w:p w14:paraId="228F441D"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These assumptions are stated to make the subsequent theorems precise; proofs and technical bounds are in Appendix A–B.</w:t>
      </w:r>
    </w:p>
    <w:p w14:paraId="6D34C853"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B. Conditional theorems (statements and sketches)</w:t>
      </w:r>
    </w:p>
    <w:p w14:paraId="1CF61669"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Theorem 1 (CMNF Cross</w:t>
      </w:r>
      <w:r w:rsidRPr="00384F1F">
        <w:rPr>
          <w:rFonts w:ascii="Times New Roman" w:hAnsi="Times New Roman" w:cs="Times New Roman"/>
          <w:b/>
          <w:bCs/>
          <w:sz w:val="20"/>
          <w:szCs w:val="20"/>
        </w:rPr>
        <w:noBreakHyphen/>
        <w:t>Context Safety).</w:t>
      </w:r>
      <w:r w:rsidRPr="00384F1F">
        <w:rPr>
          <w:rFonts w:ascii="Times New Roman" w:hAnsi="Times New Roman" w:cs="Times New Roman"/>
          <w:sz w:val="20"/>
          <w:szCs w:val="20"/>
        </w:rPr>
        <w:t xml:space="preserve"> </w:t>
      </w:r>
      <w:r w:rsidRPr="00384F1F">
        <w:rPr>
          <w:rFonts w:ascii="Times New Roman" w:hAnsi="Times New Roman" w:cs="Times New Roman"/>
          <w:sz w:val="20"/>
          <w:szCs w:val="20"/>
        </w:rPr>
        <w:br/>
      </w:r>
      <w:r w:rsidRPr="00384F1F">
        <w:rPr>
          <w:rFonts w:ascii="Times New Roman" w:hAnsi="Times New Roman" w:cs="Times New Roman"/>
          <w:b/>
          <w:bCs/>
          <w:sz w:val="20"/>
          <w:szCs w:val="20"/>
        </w:rPr>
        <w:t>Under Assumptions 1–4.</w:t>
      </w:r>
      <w:r w:rsidRPr="00384F1F">
        <w:rPr>
          <w:rFonts w:ascii="Times New Roman" w:hAnsi="Times New Roman" w:cs="Times New Roman"/>
          <w:sz w:val="20"/>
          <w:szCs w:val="20"/>
        </w:rPr>
        <w:t xml:space="preserve"> If CMNF holds for contexts (c_1,c_2) (i.e., for all (p), inner products (\le\tau_{\</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{CMNF}})), then under the subspace model the probability of cross</w:t>
      </w:r>
      <w:r w:rsidRPr="00384F1F">
        <w:rPr>
          <w:rFonts w:ascii="Times New Roman" w:hAnsi="Times New Roman" w:cs="Times New Roman"/>
          <w:sz w:val="20"/>
          <w:szCs w:val="20"/>
        </w:rPr>
        <w:noBreakHyphen/>
        <w:t>context retrieval error is bounded by an explicit function (f(\tau_{\</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{CMNF}};</w:t>
      </w:r>
      <w:proofErr w:type="spellStart"/>
      <w:r w:rsidRPr="00384F1F">
        <w:rPr>
          <w:rFonts w:ascii="Times New Roman" w:hAnsi="Times New Roman" w:cs="Times New Roman"/>
          <w:sz w:val="20"/>
          <w:szCs w:val="20"/>
        </w:rPr>
        <w:t>d,n</w:t>
      </w:r>
      <w:proofErr w:type="spellEnd"/>
      <w:r w:rsidRPr="00384F1F">
        <w:rPr>
          <w:rFonts w:ascii="Times New Roman" w:hAnsi="Times New Roman" w:cs="Times New Roman"/>
          <w:sz w:val="20"/>
          <w:szCs w:val="20"/>
        </w:rPr>
        <w:t>)) that decays as (\tau_{\</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 xml:space="preserve">{CMNF}}\to 0) and with increasing ambient dimension (d). </w:t>
      </w:r>
      <w:r w:rsidRPr="00384F1F">
        <w:rPr>
          <w:rFonts w:ascii="Times New Roman" w:hAnsi="Times New Roman" w:cs="Times New Roman"/>
          <w:b/>
          <w:bCs/>
          <w:sz w:val="20"/>
          <w:szCs w:val="20"/>
        </w:rPr>
        <w:t xml:space="preserve">Proof </w:t>
      </w:r>
      <w:proofErr w:type="gramStart"/>
      <w:r w:rsidRPr="00384F1F">
        <w:rPr>
          <w:rFonts w:ascii="Times New Roman" w:hAnsi="Times New Roman" w:cs="Times New Roman"/>
          <w:b/>
          <w:bCs/>
          <w:sz w:val="20"/>
          <w:szCs w:val="20"/>
        </w:rPr>
        <w:t>sketch;</w:t>
      </w:r>
      <w:proofErr w:type="gramEnd"/>
      <w:r w:rsidRPr="00384F1F">
        <w:rPr>
          <w:rFonts w:ascii="Times New Roman" w:hAnsi="Times New Roman" w:cs="Times New Roman"/>
          <w:b/>
          <w:bCs/>
          <w:sz w:val="20"/>
          <w:szCs w:val="20"/>
        </w:rPr>
        <w:t xml:space="preserve"> full proof under the stated assumptions is in Appendix A.</w:t>
      </w:r>
    </w:p>
    <w:p w14:paraId="27C6702B"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Theorem 2 (DBNF Drift Fork Necessity).</w:t>
      </w:r>
      <w:r w:rsidRPr="00384F1F">
        <w:rPr>
          <w:rFonts w:ascii="Times New Roman" w:hAnsi="Times New Roman" w:cs="Times New Roman"/>
          <w:sz w:val="20"/>
          <w:szCs w:val="20"/>
        </w:rPr>
        <w:t xml:space="preserve"> </w:t>
      </w:r>
      <w:r w:rsidRPr="00384F1F">
        <w:rPr>
          <w:rFonts w:ascii="Times New Roman" w:hAnsi="Times New Roman" w:cs="Times New Roman"/>
          <w:sz w:val="20"/>
          <w:szCs w:val="20"/>
        </w:rPr>
        <w:br/>
      </w:r>
      <w:r w:rsidRPr="00384F1F">
        <w:rPr>
          <w:rFonts w:ascii="Times New Roman" w:hAnsi="Times New Roman" w:cs="Times New Roman"/>
          <w:b/>
          <w:bCs/>
          <w:sz w:val="20"/>
          <w:szCs w:val="20"/>
        </w:rPr>
        <w:t>Under Assumptions 1–4.</w:t>
      </w:r>
      <w:r w:rsidRPr="00384F1F">
        <w:rPr>
          <w:rFonts w:ascii="Times New Roman" w:hAnsi="Times New Roman" w:cs="Times New Roman"/>
          <w:sz w:val="20"/>
          <w:szCs w:val="20"/>
        </w:rPr>
        <w:t xml:space="preserve"> If (|\mathrm{Emb}(e,v_1)-\mathrm{Emb}(e,v_2)|&gt;\tau_{\mathrm{DBNF}}), then for any downstream operator (O) that is (L_O)-Lipschitz, [ |O(\</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{Emb}(e,v_1)) - O(\</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{Emb}(e,v_2))| \</w:t>
      </w:r>
      <w:proofErr w:type="spellStart"/>
      <w:r w:rsidRPr="00384F1F">
        <w:rPr>
          <w:rFonts w:ascii="Times New Roman" w:hAnsi="Times New Roman" w:cs="Times New Roman"/>
          <w:sz w:val="20"/>
          <w:szCs w:val="20"/>
        </w:rPr>
        <w:t>ge</w:t>
      </w:r>
      <w:proofErr w:type="spellEnd"/>
      <w:r w:rsidRPr="00384F1F">
        <w:rPr>
          <w:rFonts w:ascii="Times New Roman" w:hAnsi="Times New Roman" w:cs="Times New Roman"/>
          <w:sz w:val="20"/>
          <w:szCs w:val="20"/>
        </w:rPr>
        <w:t xml:space="preserve"> L_O\</w:t>
      </w:r>
      <w:proofErr w:type="spellStart"/>
      <w:r w:rsidRPr="00384F1F">
        <w:rPr>
          <w:rFonts w:ascii="Times New Roman" w:hAnsi="Times New Roman" w:cs="Times New Roman"/>
          <w:sz w:val="20"/>
          <w:szCs w:val="20"/>
        </w:rPr>
        <w:t>cdot</w:t>
      </w:r>
      <w:proofErr w:type="spellEnd"/>
      <w:r w:rsidRPr="00384F1F">
        <w:rPr>
          <w:rFonts w:ascii="Times New Roman" w:hAnsi="Times New Roman" w:cs="Times New Roman"/>
          <w:sz w:val="20"/>
          <w:szCs w:val="20"/>
        </w:rPr>
        <w:t>\</w:t>
      </w:r>
      <w:proofErr w:type="spell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{drift} - K. ] When the right</w:t>
      </w:r>
      <w:r w:rsidRPr="00384F1F">
        <w:rPr>
          <w:rFonts w:ascii="Times New Roman" w:hAnsi="Times New Roman" w:cs="Times New Roman"/>
          <w:sz w:val="20"/>
          <w:szCs w:val="20"/>
        </w:rPr>
        <w:noBreakHyphen/>
        <w:t xml:space="preserve">hand side exceeds an application threshold, forking is required to preserve semantic consistency. </w:t>
      </w:r>
      <w:r w:rsidRPr="00384F1F">
        <w:rPr>
          <w:rFonts w:ascii="Times New Roman" w:hAnsi="Times New Roman" w:cs="Times New Roman"/>
          <w:b/>
          <w:bCs/>
          <w:sz w:val="20"/>
          <w:szCs w:val="20"/>
        </w:rPr>
        <w:t>Proof sketch; full proof in Appendix A.</w:t>
      </w:r>
    </w:p>
    <w:p w14:paraId="02C9FA0A"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Theorem 3 (SRS Completeness Under SDNF).</w:t>
      </w:r>
      <w:r w:rsidRPr="00384F1F">
        <w:rPr>
          <w:rFonts w:ascii="Times New Roman" w:hAnsi="Times New Roman" w:cs="Times New Roman"/>
          <w:sz w:val="20"/>
          <w:szCs w:val="20"/>
        </w:rPr>
        <w:t xml:space="preserve"> </w:t>
      </w:r>
      <w:r w:rsidRPr="00384F1F">
        <w:rPr>
          <w:rFonts w:ascii="Times New Roman" w:hAnsi="Times New Roman" w:cs="Times New Roman"/>
          <w:sz w:val="20"/>
          <w:szCs w:val="20"/>
        </w:rPr>
        <w:br/>
      </w:r>
      <w:r w:rsidRPr="00384F1F">
        <w:rPr>
          <w:rFonts w:ascii="Times New Roman" w:hAnsi="Times New Roman" w:cs="Times New Roman"/>
          <w:b/>
          <w:bCs/>
          <w:sz w:val="20"/>
          <w:szCs w:val="20"/>
        </w:rPr>
        <w:t>Under Assumptions 1–4.</w:t>
      </w:r>
      <w:r w:rsidRPr="00384F1F">
        <w:rPr>
          <w:rFonts w:ascii="Times New Roman" w:hAnsi="Times New Roman" w:cs="Times New Roman"/>
          <w:sz w:val="20"/>
          <w:szCs w:val="20"/>
        </w:rPr>
        <w:t xml:space="preserve"> For finite contexts and under boundedness and closure conditions, </w:t>
      </w:r>
      <w:r w:rsidRPr="00384F1F">
        <w:rPr>
          <w:rFonts w:ascii="Times New Roman" w:hAnsi="Times New Roman" w:cs="Times New Roman"/>
          <w:sz w:val="20"/>
          <w:szCs w:val="20"/>
        </w:rPr>
        <w:lastRenderedPageBreak/>
        <w:t>((\</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SRS</w:t>
      </w:r>
      <w:proofErr w:type="gramStart"/>
      <w:r w:rsidRPr="00384F1F">
        <w:rPr>
          <w:rFonts w:ascii="Times New Roman" w:hAnsi="Times New Roman" w:cs="Times New Roman"/>
          <w:sz w:val="20"/>
          <w:szCs w:val="20"/>
        </w:rPr>
        <w:t>},d</w:t>
      </w:r>
      <w:proofErr w:type="gramEnd"/>
      <w:r w:rsidRPr="00384F1F">
        <w:rPr>
          <w:rFonts w:ascii="Times New Roman" w:hAnsi="Times New Roman" w:cs="Times New Roman"/>
          <w:sz w:val="20"/>
          <w:szCs w:val="20"/>
        </w:rPr>
        <w:t>_{\</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 xml:space="preserve">SRS}})) is complete: every Cauchy sequence converges within SRS. Moreover, under additional technical bounds on governance updates (Appendix B), the governance pipeline converges to a canonical fixed point. </w:t>
      </w:r>
      <w:r w:rsidRPr="00384F1F">
        <w:rPr>
          <w:rFonts w:ascii="Times New Roman" w:hAnsi="Times New Roman" w:cs="Times New Roman"/>
          <w:b/>
          <w:bCs/>
          <w:sz w:val="20"/>
          <w:szCs w:val="20"/>
        </w:rPr>
        <w:t>Proof sketch; full proof in Appendix A and Appendix B.</w:t>
      </w:r>
    </w:p>
    <w:p w14:paraId="198A1200"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Corollary 3.1 (Fixed</w:t>
      </w:r>
      <w:r w:rsidRPr="00384F1F">
        <w:rPr>
          <w:rFonts w:ascii="Times New Roman" w:hAnsi="Times New Roman" w:cs="Times New Roman"/>
          <w:b/>
          <w:bCs/>
          <w:sz w:val="20"/>
          <w:szCs w:val="20"/>
        </w:rPr>
        <w:noBreakHyphen/>
        <w:t>Point Convergence).</w:t>
      </w:r>
      <w:r w:rsidRPr="00384F1F">
        <w:rPr>
          <w:rFonts w:ascii="Times New Roman" w:hAnsi="Times New Roman" w:cs="Times New Roman"/>
          <w:sz w:val="20"/>
          <w:szCs w:val="20"/>
        </w:rPr>
        <w:t xml:space="preserve"> Under Assumptions 1–4 and the governance descent </w:t>
      </w:r>
      <w:proofErr w:type="gramStart"/>
      <w:r w:rsidRPr="00384F1F">
        <w:rPr>
          <w:rFonts w:ascii="Times New Roman" w:hAnsi="Times New Roman" w:cs="Times New Roman"/>
          <w:sz w:val="20"/>
          <w:szCs w:val="20"/>
        </w:rPr>
        <w:t>bounds</w:t>
      </w:r>
      <w:proofErr w:type="gramEnd"/>
      <w:r w:rsidRPr="00384F1F">
        <w:rPr>
          <w:rFonts w:ascii="Times New Roman" w:hAnsi="Times New Roman" w:cs="Times New Roman"/>
          <w:sz w:val="20"/>
          <w:szCs w:val="20"/>
        </w:rPr>
        <w:t xml:space="preserve"> in Appendix B, the governance pipeline converges to a canonical schema (S^</w:t>
      </w:r>
      <w:r w:rsidRPr="00384F1F">
        <w:rPr>
          <w:rFonts w:ascii="Times New Roman" w:hAnsi="Times New Roman" w:cs="Times New Roman"/>
          <w:i/>
          <w:iCs/>
          <w:sz w:val="20"/>
          <w:szCs w:val="20"/>
        </w:rPr>
        <w:t>) with (T(S</w:t>
      </w:r>
      <w:proofErr w:type="gramStart"/>
      <w:r w:rsidRPr="00384F1F">
        <w:rPr>
          <w:rFonts w:ascii="Times New Roman" w:hAnsi="Times New Roman" w:cs="Times New Roman"/>
          <w:i/>
          <w:iCs/>
          <w:sz w:val="20"/>
          <w:szCs w:val="20"/>
        </w:rPr>
        <w:t>^</w:t>
      </w:r>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S^*). (See Appendix B.)</w:t>
      </w:r>
    </w:p>
    <w:p w14:paraId="60E13E9A"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Corollary 3.2 (Conditional Bi</w:t>
      </w:r>
      <w:r w:rsidRPr="00384F1F">
        <w:rPr>
          <w:rFonts w:ascii="Times New Roman" w:hAnsi="Times New Roman" w:cs="Times New Roman"/>
          <w:b/>
          <w:bCs/>
          <w:sz w:val="20"/>
          <w:szCs w:val="20"/>
        </w:rPr>
        <w:noBreakHyphen/>
        <w:t>Lipschitz Embedding).</w:t>
      </w:r>
      <w:r w:rsidRPr="00384F1F">
        <w:rPr>
          <w:rFonts w:ascii="Times New Roman" w:hAnsi="Times New Roman" w:cs="Times New Roman"/>
          <w:sz w:val="20"/>
          <w:szCs w:val="20"/>
        </w:rPr>
        <w:t xml:space="preserve"> Under Assumption 2 (finite contexts) Emb is bi</w:t>
      </w:r>
      <w:r w:rsidRPr="00384F1F">
        <w:rPr>
          <w:rFonts w:ascii="Times New Roman" w:hAnsi="Times New Roman" w:cs="Times New Roman"/>
          <w:sz w:val="20"/>
          <w:szCs w:val="20"/>
        </w:rPr>
        <w:noBreakHyphen/>
        <w:t>Lipschitz up to controlled distortion; constants depend on (\kappa) and (\tau_{\</w:t>
      </w:r>
      <w:proofErr w:type="spellStart"/>
      <w:proofErr w:type="gramStart"/>
      <w:r w:rsidRPr="00384F1F">
        <w:rPr>
          <w:rFonts w:ascii="Times New Roman" w:hAnsi="Times New Roman" w:cs="Times New Roman"/>
          <w:sz w:val="20"/>
          <w:szCs w:val="20"/>
        </w:rPr>
        <w:t>mathrm</w:t>
      </w:r>
      <w:proofErr w:type="spellEnd"/>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AANF}}). (Formal statement and bounds in Appendix A.)</w:t>
      </w:r>
    </w:p>
    <w:p w14:paraId="3C2B780E"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C. Governance descent (replacement for unconditional contraction)</w:t>
      </w:r>
    </w:p>
    <w:p w14:paraId="6AA99051"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The governance pipeline is a composition of continuous centroid updates and discrete merge/fork decisions. Continuous updates are Lipschitz</w:t>
      </w:r>
      <w:r w:rsidRPr="00384F1F">
        <w:rPr>
          <w:rFonts w:ascii="Times New Roman" w:hAnsi="Times New Roman" w:cs="Times New Roman"/>
          <w:sz w:val="20"/>
          <w:szCs w:val="20"/>
        </w:rPr>
        <w:noBreakHyphen/>
        <w:t>bounded; discrete decisions are implemented to avoid increases in a redundancy metric (L(S)). Under explicit bounds on discrete update magnitudes (Appendix B), repeated application of the pipeline yields monotone descent of (L(S)) and convergence to a fixed point. The Banach contraction formulation is presented conditionally in Appendix B where required Lipschitz constants are made explicit.</w:t>
      </w:r>
    </w:p>
    <w:p w14:paraId="06126E76"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64CCCD37">
          <v:rect id="_x0000_i1095" style="width:0;height:1.5pt" o:hralign="center" o:hrstd="t" o:hr="t" fillcolor="#a0a0a0" stroked="f"/>
        </w:pict>
      </w:r>
    </w:p>
    <w:p w14:paraId="0C246216"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V. Governance Pipeline (implementation summary)</w:t>
      </w:r>
    </w:p>
    <w:p w14:paraId="6AD3A8D3"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Stages:</w:t>
      </w:r>
      <w:r w:rsidRPr="00384F1F">
        <w:rPr>
          <w:rFonts w:ascii="Times New Roman" w:hAnsi="Times New Roman" w:cs="Times New Roman"/>
          <w:sz w:val="20"/>
          <w:szCs w:val="20"/>
        </w:rPr>
        <w:t xml:space="preserve"> Payload ingestion → Schema derivation → Embedding generation (multi</w:t>
      </w:r>
      <w:r w:rsidRPr="00384F1F">
        <w:rPr>
          <w:rFonts w:ascii="Times New Roman" w:hAnsi="Times New Roman" w:cs="Times New Roman"/>
          <w:sz w:val="20"/>
          <w:szCs w:val="20"/>
        </w:rPr>
        <w:noBreakHyphen/>
        <w:t>level) → Context projection → SDNF validation (EENF → AANF → CMNF → DBNF → ECNF → RRNF → PONF) → Evidence aggregation → Decision (merge/fork/defer/quarantine) → Lineage recording.</w:t>
      </w:r>
    </w:p>
    <w:p w14:paraId="5500A7C1"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 xml:space="preserve">Evidence </w:t>
      </w:r>
      <w:proofErr w:type="gramStart"/>
      <w:r w:rsidRPr="00384F1F">
        <w:rPr>
          <w:rFonts w:ascii="Times New Roman" w:hAnsi="Times New Roman" w:cs="Times New Roman"/>
          <w:b/>
          <w:bCs/>
          <w:sz w:val="20"/>
          <w:szCs w:val="20"/>
        </w:rPr>
        <w:t>signals:</w:t>
      </w:r>
      <w:proofErr w:type="gramEnd"/>
      <w:r w:rsidRPr="00384F1F">
        <w:rPr>
          <w:rFonts w:ascii="Times New Roman" w:hAnsi="Times New Roman" w:cs="Times New Roman"/>
          <w:sz w:val="20"/>
          <w:szCs w:val="20"/>
        </w:rPr>
        <w:t xml:space="preserve"> embedding similarities (fine/abstract/contextual), name token overlap, ontology match, value semantic signature (VSS), shape tokens, co</w:t>
      </w:r>
      <w:r w:rsidRPr="00384F1F">
        <w:rPr>
          <w:rFonts w:ascii="Times New Roman" w:hAnsi="Times New Roman" w:cs="Times New Roman"/>
          <w:sz w:val="20"/>
          <w:szCs w:val="20"/>
        </w:rPr>
        <w:noBreakHyphen/>
        <w:t xml:space="preserve">occurrence statistics, regex heuristics. </w:t>
      </w:r>
      <w:r w:rsidRPr="00384F1F">
        <w:rPr>
          <w:rFonts w:ascii="Times New Roman" w:hAnsi="Times New Roman" w:cs="Times New Roman"/>
          <w:b/>
          <w:bCs/>
          <w:sz w:val="20"/>
          <w:szCs w:val="20"/>
        </w:rPr>
        <w:t>Aggregate scoring</w:t>
      </w:r>
      <w:r w:rsidRPr="00384F1F">
        <w:rPr>
          <w:rFonts w:ascii="Times New Roman" w:hAnsi="Times New Roman" w:cs="Times New Roman"/>
          <w:sz w:val="20"/>
          <w:szCs w:val="20"/>
        </w:rPr>
        <w:t xml:space="preserve"> uses configurable weights; ECNF enforces minimum distinct signals and score thresholds.</w:t>
      </w:r>
    </w:p>
    <w:p w14:paraId="15306FC2"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Operational rules:</w:t>
      </w:r>
      <w:r w:rsidRPr="00384F1F">
        <w:rPr>
          <w:rFonts w:ascii="Times New Roman" w:hAnsi="Times New Roman" w:cs="Times New Roman"/>
          <w:sz w:val="20"/>
          <w:szCs w:val="20"/>
        </w:rPr>
        <w:t xml:space="preserve"> Auto</w:t>
      </w:r>
      <w:r w:rsidRPr="00384F1F">
        <w:rPr>
          <w:rFonts w:ascii="Times New Roman" w:hAnsi="Times New Roman" w:cs="Times New Roman"/>
          <w:sz w:val="20"/>
          <w:szCs w:val="20"/>
        </w:rPr>
        <w:noBreakHyphen/>
        <w:t>merge only when AANF + ECNF satisfied; fork on DBNF violations; quarantine on EENF failures; defer otherwise. Lineage entries record evidence ids, timestamps, actor, and decision rationale.</w:t>
      </w:r>
    </w:p>
    <w:p w14:paraId="7E3C1461"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1FE9A008">
          <v:rect id="_x0000_i1096" style="width:0;height:1.5pt" o:hralign="center" o:hrstd="t" o:hr="t" fillcolor="#a0a0a0" stroked="f"/>
        </w:pict>
      </w:r>
    </w:p>
    <w:p w14:paraId="61E6C233"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VI. Experiments</w:t>
      </w:r>
    </w:p>
    <w:p w14:paraId="6CB50D32"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A. Setup (compact)</w:t>
      </w:r>
    </w:p>
    <w:p w14:paraId="78C81BDD"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Platform: Python 3.10; Sentence</w:t>
      </w:r>
      <w:r w:rsidRPr="00384F1F">
        <w:rPr>
          <w:rFonts w:ascii="Times New Roman" w:hAnsi="Times New Roman" w:cs="Times New Roman"/>
          <w:sz w:val="20"/>
          <w:szCs w:val="20"/>
        </w:rPr>
        <w:noBreakHyphen/>
        <w:t xml:space="preserve">Transformers </w:t>
      </w:r>
      <w:r w:rsidRPr="00384F1F">
        <w:rPr>
          <w:rFonts w:ascii="Times New Roman" w:hAnsi="Times New Roman" w:cs="Times New Roman"/>
          <w:b/>
          <w:bCs/>
          <w:sz w:val="20"/>
          <w:szCs w:val="20"/>
        </w:rPr>
        <w:t>all</w:t>
      </w:r>
      <w:r w:rsidRPr="00384F1F">
        <w:rPr>
          <w:rFonts w:ascii="Times New Roman" w:hAnsi="Times New Roman" w:cs="Times New Roman"/>
          <w:b/>
          <w:bCs/>
          <w:sz w:val="20"/>
          <w:szCs w:val="20"/>
        </w:rPr>
        <w:noBreakHyphen/>
        <w:t>MiniLM</w:t>
      </w:r>
      <w:r w:rsidRPr="00384F1F">
        <w:rPr>
          <w:rFonts w:ascii="Times New Roman" w:hAnsi="Times New Roman" w:cs="Times New Roman"/>
          <w:b/>
          <w:bCs/>
          <w:sz w:val="20"/>
          <w:szCs w:val="20"/>
        </w:rPr>
        <w:noBreakHyphen/>
        <w:t>L6</w:t>
      </w:r>
      <w:r w:rsidRPr="00384F1F">
        <w:rPr>
          <w:rFonts w:ascii="Times New Roman" w:hAnsi="Times New Roman" w:cs="Times New Roman"/>
          <w:b/>
          <w:bCs/>
          <w:sz w:val="20"/>
          <w:szCs w:val="20"/>
        </w:rPr>
        <w:noBreakHyphen/>
        <w:t>v2</w:t>
      </w:r>
      <w:r w:rsidRPr="00384F1F">
        <w:rPr>
          <w:rFonts w:ascii="Times New Roman" w:hAnsi="Times New Roman" w:cs="Times New Roman"/>
          <w:sz w:val="20"/>
          <w:szCs w:val="20"/>
        </w:rPr>
        <w:t xml:space="preserve"> (model version in Appendix C); HNSW (</w:t>
      </w:r>
      <w:proofErr w:type="spellStart"/>
      <w:r w:rsidRPr="00384F1F">
        <w:rPr>
          <w:rFonts w:ascii="Times New Roman" w:hAnsi="Times New Roman" w:cs="Times New Roman"/>
          <w:sz w:val="20"/>
          <w:szCs w:val="20"/>
        </w:rPr>
        <w:t>hnswlib</w:t>
      </w:r>
      <w:proofErr w:type="spellEnd"/>
      <w:r w:rsidRPr="00384F1F">
        <w:rPr>
          <w:rFonts w:ascii="Times New Roman" w:hAnsi="Times New Roman" w:cs="Times New Roman"/>
          <w:sz w:val="20"/>
          <w:szCs w:val="20"/>
        </w:rPr>
        <w:t xml:space="preserve"> M=32, </w:t>
      </w:r>
      <w:proofErr w:type="spellStart"/>
      <w:r w:rsidRPr="00384F1F">
        <w:rPr>
          <w:rFonts w:ascii="Times New Roman" w:hAnsi="Times New Roman" w:cs="Times New Roman"/>
          <w:sz w:val="20"/>
          <w:szCs w:val="20"/>
        </w:rPr>
        <w:t>ef</w:t>
      </w:r>
      <w:proofErr w:type="spellEnd"/>
      <w:r w:rsidRPr="00384F1F">
        <w:rPr>
          <w:rFonts w:ascii="Times New Roman" w:hAnsi="Times New Roman" w:cs="Times New Roman"/>
          <w:sz w:val="20"/>
          <w:szCs w:val="20"/>
        </w:rPr>
        <w:t>=50). Data: payments domain (</w:t>
      </w:r>
      <w:proofErr w:type="spellStart"/>
      <w:r w:rsidRPr="00384F1F">
        <w:rPr>
          <w:rFonts w:ascii="Times New Roman" w:hAnsi="Times New Roman" w:cs="Times New Roman"/>
          <w:sz w:val="20"/>
          <w:szCs w:val="20"/>
        </w:rPr>
        <w:t>INAmex.json</w:t>
      </w:r>
      <w:proofErr w:type="spellEnd"/>
      <w:r w:rsidRPr="00384F1F">
        <w:rPr>
          <w:rFonts w:ascii="Times New Roman" w:hAnsi="Times New Roman" w:cs="Times New Roman"/>
          <w:sz w:val="20"/>
          <w:szCs w:val="20"/>
        </w:rPr>
        <w:t xml:space="preserve">, </w:t>
      </w:r>
      <w:proofErr w:type="spellStart"/>
      <w:r w:rsidRPr="00384F1F">
        <w:rPr>
          <w:rFonts w:ascii="Times New Roman" w:hAnsi="Times New Roman" w:cs="Times New Roman"/>
          <w:sz w:val="20"/>
          <w:szCs w:val="20"/>
        </w:rPr>
        <w:t>PPVisa.json</w:t>
      </w:r>
      <w:proofErr w:type="spellEnd"/>
      <w:r w:rsidRPr="00384F1F">
        <w:rPr>
          <w:rFonts w:ascii="Times New Roman" w:hAnsi="Times New Roman" w:cs="Times New Roman"/>
          <w:sz w:val="20"/>
          <w:szCs w:val="20"/>
        </w:rPr>
        <w:t>, ~50 payloads). Metrics: schema consolidation (% reduction), merge precision/recall (±CI), context leakage rate, drift detection accuracy.</w:t>
      </w:r>
    </w:p>
    <w:p w14:paraId="2FE1F249"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B. EENF mitigation and reproducibility</w:t>
      </w:r>
    </w:p>
    <w:p w14:paraId="0A189DE2"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 xml:space="preserve">We observed embedding variance from nondeterministic encoders. To quantify and mitigate this we use regeneration trials (G) and report sensitivity results. Experiments use the model and </w:t>
      </w:r>
      <w:proofErr w:type="spellStart"/>
      <w:r w:rsidRPr="00384F1F">
        <w:rPr>
          <w:rFonts w:ascii="Times New Roman" w:hAnsi="Times New Roman" w:cs="Times New Roman"/>
          <w:sz w:val="20"/>
          <w:szCs w:val="20"/>
        </w:rPr>
        <w:t>hnswlib</w:t>
      </w:r>
      <w:proofErr w:type="spellEnd"/>
      <w:r w:rsidRPr="00384F1F">
        <w:rPr>
          <w:rFonts w:ascii="Times New Roman" w:hAnsi="Times New Roman" w:cs="Times New Roman"/>
          <w:sz w:val="20"/>
          <w:szCs w:val="20"/>
        </w:rPr>
        <w:t xml:space="preserve"> versions listed in Appendix C and fixed random seeds (Appendix C). For production we recommend deterministic seeding or model choices that support reproducible encodings. In our ablation, increasing regenerations from (G=10) to (G=20) reduced mean embedding variance by ~40% at the cost of ~2× embedding compute; per</w:t>
      </w:r>
      <w:r w:rsidRPr="00384F1F">
        <w:rPr>
          <w:rFonts w:ascii="Times New Roman" w:hAnsi="Times New Roman" w:cs="Times New Roman"/>
          <w:sz w:val="20"/>
          <w:szCs w:val="20"/>
        </w:rPr>
        <w:noBreakHyphen/>
        <w:t>entity quarantine counts are in Appendix C.</w:t>
      </w:r>
    </w:p>
    <w:p w14:paraId="6D6DA5E4"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EENF Sensitivity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180"/>
        <w:gridCol w:w="1837"/>
      </w:tblGrid>
      <w:tr w:rsidR="00384F1F" w:rsidRPr="00384F1F" w14:paraId="63A68022" w14:textId="77777777">
        <w:trPr>
          <w:tblHeader/>
          <w:tblCellSpacing w:w="15" w:type="dxa"/>
        </w:trPr>
        <w:tc>
          <w:tcPr>
            <w:tcW w:w="0" w:type="auto"/>
            <w:vAlign w:val="center"/>
            <w:hideMark/>
          </w:tcPr>
          <w:p w14:paraId="2281FDE9"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lastRenderedPageBreak/>
              <w:t>G (regenerations)</w:t>
            </w:r>
          </w:p>
        </w:tc>
        <w:tc>
          <w:tcPr>
            <w:tcW w:w="0" w:type="auto"/>
            <w:vAlign w:val="center"/>
            <w:hideMark/>
          </w:tcPr>
          <w:p w14:paraId="6FF6A4A4" w14:textId="77777777" w:rsidR="00384F1F" w:rsidRPr="00384F1F" w:rsidRDefault="00384F1F" w:rsidP="00384F1F">
            <w:pPr>
              <w:rPr>
                <w:rFonts w:ascii="Times New Roman" w:hAnsi="Times New Roman" w:cs="Times New Roman"/>
                <w:b/>
                <w:bCs/>
                <w:sz w:val="20"/>
                <w:szCs w:val="20"/>
              </w:rPr>
            </w:pPr>
            <w:proofErr w:type="spellStart"/>
            <w:r w:rsidRPr="00384F1F">
              <w:rPr>
                <w:rFonts w:ascii="Times New Roman" w:hAnsi="Times New Roman" w:cs="Times New Roman"/>
                <w:b/>
                <w:bCs/>
                <w:sz w:val="20"/>
                <w:szCs w:val="20"/>
              </w:rPr>
              <w:t>MeanVar</w:t>
            </w:r>
            <w:proofErr w:type="spellEnd"/>
            <w:r w:rsidRPr="00384F1F">
              <w:rPr>
                <w:rFonts w:ascii="Times New Roman" w:hAnsi="Times New Roman" w:cs="Times New Roman"/>
                <w:b/>
                <w:bCs/>
                <w:sz w:val="20"/>
                <w:szCs w:val="20"/>
              </w:rPr>
              <w:t xml:space="preserve"> (mean per</w:t>
            </w:r>
            <w:r w:rsidRPr="00384F1F">
              <w:rPr>
                <w:rFonts w:ascii="Times New Roman" w:hAnsi="Times New Roman" w:cs="Times New Roman"/>
                <w:b/>
                <w:bCs/>
                <w:sz w:val="20"/>
                <w:szCs w:val="20"/>
              </w:rPr>
              <w:noBreakHyphen/>
              <w:t>entity variance)</w:t>
            </w:r>
          </w:p>
        </w:tc>
        <w:tc>
          <w:tcPr>
            <w:tcW w:w="0" w:type="auto"/>
            <w:vAlign w:val="center"/>
            <w:hideMark/>
          </w:tcPr>
          <w:p w14:paraId="64170EFA"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Quarantined entities</w:t>
            </w:r>
          </w:p>
        </w:tc>
      </w:tr>
      <w:tr w:rsidR="00384F1F" w:rsidRPr="00384F1F" w14:paraId="3DBA2721" w14:textId="77777777">
        <w:trPr>
          <w:tblCellSpacing w:w="15" w:type="dxa"/>
        </w:trPr>
        <w:tc>
          <w:tcPr>
            <w:tcW w:w="0" w:type="auto"/>
            <w:vAlign w:val="center"/>
            <w:hideMark/>
          </w:tcPr>
          <w:p w14:paraId="058E8719"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10</w:t>
            </w:r>
          </w:p>
        </w:tc>
        <w:tc>
          <w:tcPr>
            <w:tcW w:w="0" w:type="auto"/>
            <w:vAlign w:val="center"/>
            <w:hideMark/>
          </w:tcPr>
          <w:p w14:paraId="47E18F64"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0.000176</w:t>
            </w:r>
          </w:p>
        </w:tc>
        <w:tc>
          <w:tcPr>
            <w:tcW w:w="0" w:type="auto"/>
            <w:vAlign w:val="center"/>
            <w:hideMark/>
          </w:tcPr>
          <w:p w14:paraId="3346C9D8"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6</w:t>
            </w:r>
          </w:p>
        </w:tc>
      </w:tr>
      <w:tr w:rsidR="00384F1F" w:rsidRPr="00384F1F" w14:paraId="03721FFA" w14:textId="77777777">
        <w:trPr>
          <w:tblCellSpacing w:w="15" w:type="dxa"/>
        </w:trPr>
        <w:tc>
          <w:tcPr>
            <w:tcW w:w="0" w:type="auto"/>
            <w:vAlign w:val="center"/>
            <w:hideMark/>
          </w:tcPr>
          <w:p w14:paraId="297BF7A7"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20</w:t>
            </w:r>
          </w:p>
        </w:tc>
        <w:tc>
          <w:tcPr>
            <w:tcW w:w="0" w:type="auto"/>
            <w:vAlign w:val="center"/>
            <w:hideMark/>
          </w:tcPr>
          <w:p w14:paraId="13D89345"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0.000106</w:t>
            </w:r>
          </w:p>
        </w:tc>
        <w:tc>
          <w:tcPr>
            <w:tcW w:w="0" w:type="auto"/>
            <w:vAlign w:val="center"/>
            <w:hideMark/>
          </w:tcPr>
          <w:p w14:paraId="76966A1F"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2</w:t>
            </w:r>
          </w:p>
        </w:tc>
      </w:tr>
    </w:tbl>
    <w:p w14:paraId="4C415EE9"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C. Key results (compact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444"/>
        <w:gridCol w:w="2663"/>
      </w:tblGrid>
      <w:tr w:rsidR="00384F1F" w:rsidRPr="00384F1F" w14:paraId="2B96ADE7" w14:textId="77777777">
        <w:trPr>
          <w:tblHeader/>
          <w:tblCellSpacing w:w="15" w:type="dxa"/>
        </w:trPr>
        <w:tc>
          <w:tcPr>
            <w:tcW w:w="0" w:type="auto"/>
            <w:vAlign w:val="center"/>
            <w:hideMark/>
          </w:tcPr>
          <w:p w14:paraId="02E2E71E"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Metric</w:t>
            </w:r>
          </w:p>
        </w:tc>
        <w:tc>
          <w:tcPr>
            <w:tcW w:w="0" w:type="auto"/>
            <w:vAlign w:val="center"/>
            <w:hideMark/>
          </w:tcPr>
          <w:p w14:paraId="55C90E8A"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Baseline (Naive)</w:t>
            </w:r>
          </w:p>
        </w:tc>
        <w:tc>
          <w:tcPr>
            <w:tcW w:w="0" w:type="auto"/>
            <w:vAlign w:val="center"/>
            <w:hideMark/>
          </w:tcPr>
          <w:p w14:paraId="1D3F9728"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SDNF (Hybrid)</w:t>
            </w:r>
          </w:p>
        </w:tc>
      </w:tr>
      <w:tr w:rsidR="00384F1F" w:rsidRPr="00384F1F" w14:paraId="780A8E51" w14:textId="77777777">
        <w:trPr>
          <w:tblCellSpacing w:w="15" w:type="dxa"/>
        </w:trPr>
        <w:tc>
          <w:tcPr>
            <w:tcW w:w="0" w:type="auto"/>
            <w:vAlign w:val="center"/>
            <w:hideMark/>
          </w:tcPr>
          <w:p w14:paraId="4E9A3EA0"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Merge precision</w:t>
            </w:r>
          </w:p>
        </w:tc>
        <w:tc>
          <w:tcPr>
            <w:tcW w:w="0" w:type="auto"/>
            <w:vAlign w:val="center"/>
            <w:hideMark/>
          </w:tcPr>
          <w:p w14:paraId="0E615373"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(0.78\pm0.04)</w:t>
            </w:r>
          </w:p>
        </w:tc>
        <w:tc>
          <w:tcPr>
            <w:tcW w:w="0" w:type="auto"/>
            <w:vAlign w:val="center"/>
            <w:hideMark/>
          </w:tcPr>
          <w:p w14:paraId="46CB15A7"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(0.95\pm0.02)</w:t>
            </w:r>
          </w:p>
        </w:tc>
      </w:tr>
      <w:tr w:rsidR="00384F1F" w:rsidRPr="00384F1F" w14:paraId="57F99DD2" w14:textId="77777777">
        <w:trPr>
          <w:tblCellSpacing w:w="15" w:type="dxa"/>
        </w:trPr>
        <w:tc>
          <w:tcPr>
            <w:tcW w:w="0" w:type="auto"/>
            <w:vAlign w:val="center"/>
            <w:hideMark/>
          </w:tcPr>
          <w:p w14:paraId="4802B3C9"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Merge recall</w:t>
            </w:r>
          </w:p>
        </w:tc>
        <w:tc>
          <w:tcPr>
            <w:tcW w:w="0" w:type="auto"/>
            <w:vAlign w:val="center"/>
            <w:hideMark/>
          </w:tcPr>
          <w:p w14:paraId="2AB7F153"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(0.72\pm0.05)</w:t>
            </w:r>
          </w:p>
        </w:tc>
        <w:tc>
          <w:tcPr>
            <w:tcW w:w="0" w:type="auto"/>
            <w:vAlign w:val="center"/>
            <w:hideMark/>
          </w:tcPr>
          <w:p w14:paraId="6DB1C5AE"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(0.90\pm0.03)</w:t>
            </w:r>
          </w:p>
        </w:tc>
      </w:tr>
      <w:tr w:rsidR="00384F1F" w:rsidRPr="00384F1F" w14:paraId="528C76F8" w14:textId="77777777">
        <w:trPr>
          <w:tblCellSpacing w:w="15" w:type="dxa"/>
        </w:trPr>
        <w:tc>
          <w:tcPr>
            <w:tcW w:w="0" w:type="auto"/>
            <w:vAlign w:val="center"/>
            <w:hideMark/>
          </w:tcPr>
          <w:p w14:paraId="1E2853A3"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Schema redundancy</w:t>
            </w:r>
          </w:p>
        </w:tc>
        <w:tc>
          <w:tcPr>
            <w:tcW w:w="0" w:type="auto"/>
            <w:vAlign w:val="center"/>
            <w:hideMark/>
          </w:tcPr>
          <w:p w14:paraId="0C1D5F99"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10 distinct fields</w:t>
            </w:r>
          </w:p>
        </w:tc>
        <w:tc>
          <w:tcPr>
            <w:tcW w:w="0" w:type="auto"/>
            <w:vAlign w:val="center"/>
            <w:hideMark/>
          </w:tcPr>
          <w:p w14:paraId="5DE919B7"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6 canonical (≈40% reduction)</w:t>
            </w:r>
          </w:p>
        </w:tc>
      </w:tr>
      <w:tr w:rsidR="00384F1F" w:rsidRPr="00384F1F" w14:paraId="4EC5099E" w14:textId="77777777">
        <w:trPr>
          <w:tblCellSpacing w:w="15" w:type="dxa"/>
        </w:trPr>
        <w:tc>
          <w:tcPr>
            <w:tcW w:w="0" w:type="auto"/>
            <w:vAlign w:val="center"/>
            <w:hideMark/>
          </w:tcPr>
          <w:p w14:paraId="71BCDABD"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Context leakage</w:t>
            </w:r>
          </w:p>
        </w:tc>
        <w:tc>
          <w:tcPr>
            <w:tcW w:w="0" w:type="auto"/>
            <w:vAlign w:val="center"/>
            <w:hideMark/>
          </w:tcPr>
          <w:p w14:paraId="75206BE9"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9%</w:t>
            </w:r>
          </w:p>
        </w:tc>
        <w:tc>
          <w:tcPr>
            <w:tcW w:w="0" w:type="auto"/>
            <w:vAlign w:val="center"/>
            <w:hideMark/>
          </w:tcPr>
          <w:p w14:paraId="77D8AF2B"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&lt;1%</w:t>
            </w:r>
          </w:p>
        </w:tc>
      </w:tr>
      <w:tr w:rsidR="00384F1F" w:rsidRPr="00384F1F" w14:paraId="2B860B99" w14:textId="77777777">
        <w:trPr>
          <w:tblCellSpacing w:w="15" w:type="dxa"/>
        </w:trPr>
        <w:tc>
          <w:tcPr>
            <w:tcW w:w="0" w:type="auto"/>
            <w:vAlign w:val="center"/>
            <w:hideMark/>
          </w:tcPr>
          <w:p w14:paraId="780EDC1F"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Drift detection (injected)</w:t>
            </w:r>
          </w:p>
        </w:tc>
        <w:tc>
          <w:tcPr>
            <w:tcW w:w="0" w:type="auto"/>
            <w:vAlign w:val="center"/>
            <w:hideMark/>
          </w:tcPr>
          <w:p w14:paraId="6D1F766A"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N/A</w:t>
            </w:r>
          </w:p>
        </w:tc>
        <w:tc>
          <w:tcPr>
            <w:tcW w:w="0" w:type="auto"/>
            <w:vAlign w:val="center"/>
            <w:hideMark/>
          </w:tcPr>
          <w:p w14:paraId="6B0EA2BD"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100% (all injected drifts caught)</w:t>
            </w:r>
          </w:p>
        </w:tc>
      </w:tr>
    </w:tbl>
    <w:p w14:paraId="5077A574"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D. Ablation highlights (brief)</w:t>
      </w:r>
    </w:p>
    <w:p w14:paraId="191327D0" w14:textId="77777777" w:rsidR="00384F1F" w:rsidRPr="00384F1F" w:rsidRDefault="00384F1F" w:rsidP="00384F1F">
      <w:pPr>
        <w:numPr>
          <w:ilvl w:val="0"/>
          <w:numId w:val="19"/>
        </w:numPr>
        <w:rPr>
          <w:rFonts w:ascii="Times New Roman" w:hAnsi="Times New Roman" w:cs="Times New Roman"/>
          <w:sz w:val="20"/>
          <w:szCs w:val="20"/>
        </w:rPr>
      </w:pPr>
      <w:r w:rsidRPr="00384F1F">
        <w:rPr>
          <w:rFonts w:ascii="Times New Roman" w:hAnsi="Times New Roman" w:cs="Times New Roman"/>
          <w:b/>
          <w:bCs/>
          <w:sz w:val="20"/>
          <w:szCs w:val="20"/>
        </w:rPr>
        <w:t>No ECNF:</w:t>
      </w:r>
      <w:r w:rsidRPr="00384F1F">
        <w:rPr>
          <w:rFonts w:ascii="Times New Roman" w:hAnsi="Times New Roman" w:cs="Times New Roman"/>
          <w:sz w:val="20"/>
          <w:szCs w:val="20"/>
        </w:rPr>
        <w:t xml:space="preserve"> precision drops to 0.86 (false merges increase).</w:t>
      </w:r>
    </w:p>
    <w:p w14:paraId="0EEB13C8" w14:textId="77777777" w:rsidR="00384F1F" w:rsidRPr="00384F1F" w:rsidRDefault="00384F1F" w:rsidP="00384F1F">
      <w:pPr>
        <w:numPr>
          <w:ilvl w:val="0"/>
          <w:numId w:val="19"/>
        </w:numPr>
        <w:rPr>
          <w:rFonts w:ascii="Times New Roman" w:hAnsi="Times New Roman" w:cs="Times New Roman"/>
          <w:sz w:val="20"/>
          <w:szCs w:val="20"/>
        </w:rPr>
      </w:pPr>
      <w:r w:rsidRPr="00384F1F">
        <w:rPr>
          <w:rFonts w:ascii="Times New Roman" w:hAnsi="Times New Roman" w:cs="Times New Roman"/>
          <w:b/>
          <w:bCs/>
          <w:sz w:val="20"/>
          <w:szCs w:val="20"/>
        </w:rPr>
        <w:t>No CMNF:</w:t>
      </w:r>
      <w:r w:rsidRPr="00384F1F">
        <w:rPr>
          <w:rFonts w:ascii="Times New Roman" w:hAnsi="Times New Roman" w:cs="Times New Roman"/>
          <w:sz w:val="20"/>
          <w:szCs w:val="20"/>
        </w:rPr>
        <w:t xml:space="preserve"> context leakage rises to ≈9%.</w:t>
      </w:r>
    </w:p>
    <w:p w14:paraId="6B62A27D" w14:textId="77777777" w:rsidR="00384F1F" w:rsidRPr="00384F1F" w:rsidRDefault="00384F1F" w:rsidP="00384F1F">
      <w:pPr>
        <w:numPr>
          <w:ilvl w:val="0"/>
          <w:numId w:val="19"/>
        </w:numPr>
        <w:rPr>
          <w:rFonts w:ascii="Times New Roman" w:hAnsi="Times New Roman" w:cs="Times New Roman"/>
          <w:sz w:val="20"/>
          <w:szCs w:val="20"/>
        </w:rPr>
      </w:pPr>
      <w:r w:rsidRPr="00384F1F">
        <w:rPr>
          <w:rFonts w:ascii="Times New Roman" w:hAnsi="Times New Roman" w:cs="Times New Roman"/>
          <w:b/>
          <w:bCs/>
          <w:sz w:val="20"/>
          <w:szCs w:val="20"/>
        </w:rPr>
        <w:t>No DBNF:</w:t>
      </w:r>
      <w:r w:rsidRPr="00384F1F">
        <w:rPr>
          <w:rFonts w:ascii="Times New Roman" w:hAnsi="Times New Roman" w:cs="Times New Roman"/>
          <w:sz w:val="20"/>
          <w:szCs w:val="20"/>
        </w:rPr>
        <w:t xml:space="preserve"> drift events undetected, leading to semantic corruption.</w:t>
      </w:r>
    </w:p>
    <w:p w14:paraId="42009683" w14:textId="77777777" w:rsidR="00384F1F" w:rsidRPr="00384F1F" w:rsidRDefault="00384F1F" w:rsidP="00384F1F">
      <w:pPr>
        <w:numPr>
          <w:ilvl w:val="0"/>
          <w:numId w:val="19"/>
        </w:numPr>
        <w:rPr>
          <w:rFonts w:ascii="Times New Roman" w:hAnsi="Times New Roman" w:cs="Times New Roman"/>
          <w:sz w:val="20"/>
          <w:szCs w:val="20"/>
        </w:rPr>
      </w:pPr>
      <w:r w:rsidRPr="00384F1F">
        <w:rPr>
          <w:rFonts w:ascii="Times New Roman" w:hAnsi="Times New Roman" w:cs="Times New Roman"/>
          <w:b/>
          <w:bCs/>
          <w:sz w:val="20"/>
          <w:szCs w:val="20"/>
        </w:rPr>
        <w:t>Evidence missingness:</w:t>
      </w:r>
      <w:r w:rsidRPr="00384F1F">
        <w:rPr>
          <w:rFonts w:ascii="Times New Roman" w:hAnsi="Times New Roman" w:cs="Times New Roman"/>
          <w:sz w:val="20"/>
          <w:szCs w:val="20"/>
        </w:rPr>
        <w:t xml:space="preserve"> 27.6% of attributes lack value evidence; hybrid mode (</w:t>
      </w:r>
      <w:proofErr w:type="spellStart"/>
      <w:r w:rsidRPr="00384F1F">
        <w:rPr>
          <w:rFonts w:ascii="Times New Roman" w:hAnsi="Times New Roman" w:cs="Times New Roman"/>
          <w:sz w:val="20"/>
          <w:szCs w:val="20"/>
        </w:rPr>
        <w:t>name+ontology+vss+shape+embeddings</w:t>
      </w:r>
      <w:proofErr w:type="spellEnd"/>
      <w:r w:rsidRPr="00384F1F">
        <w:rPr>
          <w:rFonts w:ascii="Times New Roman" w:hAnsi="Times New Roman" w:cs="Times New Roman"/>
          <w:sz w:val="20"/>
          <w:szCs w:val="20"/>
        </w:rPr>
        <w:t>) recovers recall while preserving precision (details in Appendix C).</w:t>
      </w:r>
    </w:p>
    <w:p w14:paraId="2B9AF83B"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E. Example merge (illustrative)</w:t>
      </w:r>
    </w:p>
    <w:p w14:paraId="7331C4B3"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 xml:space="preserve">Merging </w:t>
      </w:r>
      <w:proofErr w:type="spellStart"/>
      <w:r w:rsidRPr="00384F1F">
        <w:rPr>
          <w:rFonts w:ascii="Times New Roman" w:hAnsi="Times New Roman" w:cs="Times New Roman"/>
          <w:sz w:val="20"/>
          <w:szCs w:val="20"/>
        </w:rPr>
        <w:t>acct_num</w:t>
      </w:r>
      <w:proofErr w:type="spellEnd"/>
      <w:r w:rsidRPr="00384F1F">
        <w:rPr>
          <w:rFonts w:ascii="Times New Roman" w:hAnsi="Times New Roman" w:cs="Times New Roman"/>
          <w:sz w:val="20"/>
          <w:szCs w:val="20"/>
        </w:rPr>
        <w:t xml:space="preserve"> → </w:t>
      </w:r>
      <w:proofErr w:type="spellStart"/>
      <w:r w:rsidRPr="00384F1F">
        <w:rPr>
          <w:rFonts w:ascii="Times New Roman" w:hAnsi="Times New Roman" w:cs="Times New Roman"/>
          <w:sz w:val="20"/>
          <w:szCs w:val="20"/>
        </w:rPr>
        <w:t>PrimaryAccountNumber</w:t>
      </w:r>
      <w:proofErr w:type="spellEnd"/>
      <w:r w:rsidRPr="00384F1F">
        <w:rPr>
          <w:rFonts w:ascii="Times New Roman" w:hAnsi="Times New Roman" w:cs="Times New Roman"/>
          <w:sz w:val="20"/>
          <w:szCs w:val="20"/>
        </w:rPr>
        <w:t>: cosine sim 0.99; ontology ISO8583 PAN; co</w:t>
      </w:r>
      <w:r w:rsidRPr="00384F1F">
        <w:rPr>
          <w:rFonts w:ascii="Times New Roman" w:hAnsi="Times New Roman" w:cs="Times New Roman"/>
          <w:sz w:val="20"/>
          <w:szCs w:val="20"/>
        </w:rPr>
        <w:noBreakHyphen/>
        <w:t xml:space="preserve">occurrence 82%; regex match </w:t>
      </w:r>
      <w:proofErr w:type="gramStart"/>
      <w:r w:rsidRPr="00384F1F">
        <w:rPr>
          <w:rFonts w:ascii="Times New Roman" w:hAnsi="Times New Roman" w:cs="Times New Roman"/>
          <w:sz w:val="20"/>
          <w:szCs w:val="20"/>
        </w:rPr>
        <w:t>^[</w:t>
      </w:r>
      <w:proofErr w:type="gramEnd"/>
      <w:r w:rsidRPr="00384F1F">
        <w:rPr>
          <w:rFonts w:ascii="Times New Roman" w:hAnsi="Times New Roman" w:cs="Times New Roman"/>
          <w:sz w:val="20"/>
          <w:szCs w:val="20"/>
        </w:rPr>
        <w:t>0-</w:t>
      </w:r>
      <w:proofErr w:type="gramStart"/>
      <w:r w:rsidRPr="00384F1F">
        <w:rPr>
          <w:rFonts w:ascii="Times New Roman" w:hAnsi="Times New Roman" w:cs="Times New Roman"/>
          <w:sz w:val="20"/>
          <w:szCs w:val="20"/>
        </w:rPr>
        <w:t>9]{</w:t>
      </w:r>
      <w:proofErr w:type="gramEnd"/>
      <w:r w:rsidRPr="00384F1F">
        <w:rPr>
          <w:rFonts w:ascii="Times New Roman" w:hAnsi="Times New Roman" w:cs="Times New Roman"/>
          <w:sz w:val="20"/>
          <w:szCs w:val="20"/>
        </w:rPr>
        <w:t>13,</w:t>
      </w:r>
      <w:proofErr w:type="gramStart"/>
      <w:r w:rsidRPr="00384F1F">
        <w:rPr>
          <w:rFonts w:ascii="Times New Roman" w:hAnsi="Times New Roman" w:cs="Times New Roman"/>
          <w:sz w:val="20"/>
          <w:szCs w:val="20"/>
        </w:rPr>
        <w:t>19}$</w:t>
      </w:r>
      <w:proofErr w:type="gramEnd"/>
      <w:r w:rsidRPr="00384F1F">
        <w:rPr>
          <w:rFonts w:ascii="Times New Roman" w:hAnsi="Times New Roman" w:cs="Times New Roman"/>
          <w:sz w:val="20"/>
          <w:szCs w:val="20"/>
        </w:rPr>
        <w:t>; aggregate score 0.92 ≥ γ → auto</w:t>
      </w:r>
      <w:r w:rsidRPr="00384F1F">
        <w:rPr>
          <w:rFonts w:ascii="Times New Roman" w:hAnsi="Times New Roman" w:cs="Times New Roman"/>
          <w:sz w:val="20"/>
          <w:szCs w:val="20"/>
        </w:rPr>
        <w:noBreakHyphen/>
        <w:t>merge; lineage recorded.</w:t>
      </w:r>
    </w:p>
    <w:p w14:paraId="5753FBFD"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60AD1FB5">
          <v:rect id="_x0000_i1097" style="width:0;height:1.5pt" o:hralign="center" o:hrstd="t" o:hr="t" fillcolor="#a0a0a0" stroked="f"/>
        </w:pict>
      </w:r>
    </w:p>
    <w:p w14:paraId="4BF70794"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VII. Limitations and reproducibility</w:t>
      </w:r>
    </w:p>
    <w:p w14:paraId="5EEA9D78" w14:textId="77777777" w:rsidR="00384F1F" w:rsidRPr="00384F1F" w:rsidRDefault="00384F1F" w:rsidP="00384F1F">
      <w:pPr>
        <w:numPr>
          <w:ilvl w:val="0"/>
          <w:numId w:val="20"/>
        </w:numPr>
        <w:rPr>
          <w:rFonts w:ascii="Times New Roman" w:hAnsi="Times New Roman" w:cs="Times New Roman"/>
          <w:sz w:val="20"/>
          <w:szCs w:val="20"/>
        </w:rPr>
      </w:pPr>
      <w:r w:rsidRPr="00384F1F">
        <w:rPr>
          <w:rFonts w:ascii="Times New Roman" w:hAnsi="Times New Roman" w:cs="Times New Roman"/>
          <w:b/>
          <w:bCs/>
          <w:sz w:val="20"/>
          <w:szCs w:val="20"/>
        </w:rPr>
        <w:t>Domain scope:</w:t>
      </w:r>
      <w:r w:rsidRPr="00384F1F">
        <w:rPr>
          <w:rFonts w:ascii="Times New Roman" w:hAnsi="Times New Roman" w:cs="Times New Roman"/>
          <w:sz w:val="20"/>
          <w:szCs w:val="20"/>
        </w:rPr>
        <w:t xml:space="preserve"> experiments are on payments payloads; claims about other domains are conditional and require further validation.</w:t>
      </w:r>
    </w:p>
    <w:p w14:paraId="69A7E33A" w14:textId="77777777" w:rsidR="00384F1F" w:rsidRPr="00384F1F" w:rsidRDefault="00384F1F" w:rsidP="00384F1F">
      <w:pPr>
        <w:numPr>
          <w:ilvl w:val="0"/>
          <w:numId w:val="20"/>
        </w:numPr>
        <w:rPr>
          <w:rFonts w:ascii="Times New Roman" w:hAnsi="Times New Roman" w:cs="Times New Roman"/>
          <w:sz w:val="20"/>
          <w:szCs w:val="20"/>
        </w:rPr>
      </w:pPr>
      <w:r w:rsidRPr="00384F1F">
        <w:rPr>
          <w:rFonts w:ascii="Times New Roman" w:hAnsi="Times New Roman" w:cs="Times New Roman"/>
          <w:b/>
          <w:bCs/>
          <w:sz w:val="20"/>
          <w:szCs w:val="20"/>
        </w:rPr>
        <w:t>Nondeterminism:</w:t>
      </w:r>
      <w:r w:rsidRPr="00384F1F">
        <w:rPr>
          <w:rFonts w:ascii="Times New Roman" w:hAnsi="Times New Roman" w:cs="Times New Roman"/>
          <w:sz w:val="20"/>
          <w:szCs w:val="20"/>
        </w:rPr>
        <w:t xml:space="preserve"> encoder nondeterminism affects EENF; mitigation via (G) and deterministic seeding is recommended.</w:t>
      </w:r>
    </w:p>
    <w:p w14:paraId="68C511B8" w14:textId="77777777" w:rsidR="00384F1F" w:rsidRPr="00384F1F" w:rsidRDefault="00384F1F" w:rsidP="00384F1F">
      <w:pPr>
        <w:numPr>
          <w:ilvl w:val="0"/>
          <w:numId w:val="20"/>
        </w:numPr>
        <w:rPr>
          <w:rFonts w:ascii="Times New Roman" w:hAnsi="Times New Roman" w:cs="Times New Roman"/>
          <w:sz w:val="20"/>
          <w:szCs w:val="20"/>
        </w:rPr>
      </w:pPr>
      <w:r w:rsidRPr="00384F1F">
        <w:rPr>
          <w:rFonts w:ascii="Times New Roman" w:hAnsi="Times New Roman" w:cs="Times New Roman"/>
          <w:b/>
          <w:bCs/>
          <w:sz w:val="20"/>
          <w:szCs w:val="20"/>
        </w:rPr>
        <w:t>Evidence missingness:</w:t>
      </w:r>
      <w:r w:rsidRPr="00384F1F">
        <w:rPr>
          <w:rFonts w:ascii="Times New Roman" w:hAnsi="Times New Roman" w:cs="Times New Roman"/>
          <w:sz w:val="20"/>
          <w:szCs w:val="20"/>
        </w:rPr>
        <w:t xml:space="preserve"> hybrid fallback is effective but depends on domain heuristics (</w:t>
      </w:r>
      <w:proofErr w:type="spellStart"/>
      <w:r w:rsidRPr="00384F1F">
        <w:rPr>
          <w:rFonts w:ascii="Times New Roman" w:hAnsi="Times New Roman" w:cs="Times New Roman"/>
          <w:sz w:val="20"/>
          <w:szCs w:val="20"/>
        </w:rPr>
        <w:t>ontology_root</w:t>
      </w:r>
      <w:proofErr w:type="spellEnd"/>
      <w:r w:rsidRPr="00384F1F">
        <w:rPr>
          <w:rFonts w:ascii="Times New Roman" w:hAnsi="Times New Roman" w:cs="Times New Roman"/>
          <w:sz w:val="20"/>
          <w:szCs w:val="20"/>
        </w:rPr>
        <w:t>).</w:t>
      </w:r>
    </w:p>
    <w:p w14:paraId="6B459E07" w14:textId="77777777" w:rsidR="00384F1F" w:rsidRPr="00384F1F" w:rsidRDefault="00384F1F" w:rsidP="00384F1F">
      <w:pPr>
        <w:numPr>
          <w:ilvl w:val="0"/>
          <w:numId w:val="20"/>
        </w:numPr>
        <w:rPr>
          <w:rFonts w:ascii="Times New Roman" w:hAnsi="Times New Roman" w:cs="Times New Roman"/>
          <w:sz w:val="20"/>
          <w:szCs w:val="20"/>
        </w:rPr>
      </w:pPr>
      <w:r w:rsidRPr="00384F1F">
        <w:rPr>
          <w:rFonts w:ascii="Times New Roman" w:hAnsi="Times New Roman" w:cs="Times New Roman"/>
          <w:b/>
          <w:bCs/>
          <w:sz w:val="20"/>
          <w:szCs w:val="20"/>
        </w:rPr>
        <w:t>Scalability:</w:t>
      </w:r>
      <w:r w:rsidRPr="00384F1F">
        <w:rPr>
          <w:rFonts w:ascii="Times New Roman" w:hAnsi="Times New Roman" w:cs="Times New Roman"/>
          <w:sz w:val="20"/>
          <w:szCs w:val="20"/>
        </w:rPr>
        <w:t xml:space="preserve"> current experiments are modest scale; scalable partitioning strategies are future work.</w:t>
      </w:r>
    </w:p>
    <w:p w14:paraId="68CC58BE"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b/>
          <w:bCs/>
          <w:sz w:val="20"/>
          <w:szCs w:val="20"/>
        </w:rPr>
        <w:t>Reproducibility:</w:t>
      </w:r>
      <w:r w:rsidRPr="00384F1F">
        <w:rPr>
          <w:rFonts w:ascii="Times New Roman" w:hAnsi="Times New Roman" w:cs="Times New Roman"/>
          <w:sz w:val="20"/>
          <w:szCs w:val="20"/>
        </w:rPr>
        <w:t xml:space="preserve"> model names/versions, seeds, </w:t>
      </w:r>
      <w:proofErr w:type="spellStart"/>
      <w:r w:rsidRPr="00384F1F">
        <w:rPr>
          <w:rFonts w:ascii="Times New Roman" w:hAnsi="Times New Roman" w:cs="Times New Roman"/>
          <w:sz w:val="20"/>
          <w:szCs w:val="20"/>
        </w:rPr>
        <w:t>hnswlib</w:t>
      </w:r>
      <w:proofErr w:type="spellEnd"/>
      <w:r w:rsidRPr="00384F1F">
        <w:rPr>
          <w:rFonts w:ascii="Times New Roman" w:hAnsi="Times New Roman" w:cs="Times New Roman"/>
          <w:sz w:val="20"/>
          <w:szCs w:val="20"/>
        </w:rPr>
        <w:t xml:space="preserve"> versions, and full experiment scripts are provided in Appendix C.</w:t>
      </w:r>
    </w:p>
    <w:p w14:paraId="027567F0"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6CA6438F">
          <v:rect id="_x0000_i1098" style="width:0;height:1.5pt" o:hralign="center" o:hrstd="t" o:hr="t" fillcolor="#a0a0a0" stroked="f"/>
        </w:pict>
      </w:r>
    </w:p>
    <w:p w14:paraId="6D211FC7"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VIII. Related work (condensed)</w:t>
      </w:r>
    </w:p>
    <w:p w14:paraId="2ACCFAFA"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 xml:space="preserve">Classical normalization [Codd, Kent] addresses structural redundancy; SDNF extends normalization to vector semantics. Schema matching and ontology embeddings [Rahm &amp; Bernstein] inform alias detection; vector DB </w:t>
      </w:r>
      <w:r w:rsidRPr="00384F1F">
        <w:rPr>
          <w:rFonts w:ascii="Times New Roman" w:hAnsi="Times New Roman" w:cs="Times New Roman"/>
          <w:sz w:val="20"/>
          <w:szCs w:val="20"/>
        </w:rPr>
        <w:lastRenderedPageBreak/>
        <w:t>and retrieval literature [Johnson et al.] inform indexing and nearest</w:t>
      </w:r>
      <w:r w:rsidRPr="00384F1F">
        <w:rPr>
          <w:rFonts w:ascii="Times New Roman" w:hAnsi="Times New Roman" w:cs="Times New Roman"/>
          <w:sz w:val="20"/>
          <w:szCs w:val="20"/>
        </w:rPr>
        <w:noBreakHyphen/>
        <w:t xml:space="preserve">neighbor </w:t>
      </w:r>
      <w:proofErr w:type="spellStart"/>
      <w:r w:rsidRPr="00384F1F">
        <w:rPr>
          <w:rFonts w:ascii="Times New Roman" w:hAnsi="Times New Roman" w:cs="Times New Roman"/>
          <w:sz w:val="20"/>
          <w:szCs w:val="20"/>
        </w:rPr>
        <w:t>behavior</w:t>
      </w:r>
      <w:proofErr w:type="spellEnd"/>
      <w:r w:rsidRPr="00384F1F">
        <w:rPr>
          <w:rFonts w:ascii="Times New Roman" w:hAnsi="Times New Roman" w:cs="Times New Roman"/>
          <w:sz w:val="20"/>
          <w:szCs w:val="20"/>
        </w:rPr>
        <w:t>. Representation drift studies motivate DBNF. Metric space and concentration results [Heinonen; Boucheron et al.] underpin conditional probabilistic bounds; fixed</w:t>
      </w:r>
      <w:r w:rsidRPr="00384F1F">
        <w:rPr>
          <w:rFonts w:ascii="Times New Roman" w:hAnsi="Times New Roman" w:cs="Times New Roman"/>
          <w:sz w:val="20"/>
          <w:szCs w:val="20"/>
        </w:rPr>
        <w:noBreakHyphen/>
        <w:t>point theory [Banach] motivates convergence arguments (all used under stated assumptions).</w:t>
      </w:r>
    </w:p>
    <w:p w14:paraId="14C4FF99"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417AB8DD">
          <v:rect id="_x0000_i1099" style="width:0;height:1.5pt" o:hralign="center" o:hrstd="t" o:hr="t" fillcolor="#a0a0a0" stroked="f"/>
        </w:pict>
      </w:r>
    </w:p>
    <w:p w14:paraId="648E3B97" w14:textId="77777777" w:rsidR="00384F1F" w:rsidRPr="00384F1F" w:rsidRDefault="00384F1F" w:rsidP="00384F1F">
      <w:pPr>
        <w:rPr>
          <w:rFonts w:ascii="Times New Roman" w:hAnsi="Times New Roman" w:cs="Times New Roman"/>
          <w:b/>
          <w:bCs/>
          <w:sz w:val="20"/>
          <w:szCs w:val="20"/>
        </w:rPr>
      </w:pPr>
      <w:r w:rsidRPr="00384F1F">
        <w:rPr>
          <w:rFonts w:ascii="Times New Roman" w:hAnsi="Times New Roman" w:cs="Times New Roman"/>
          <w:b/>
          <w:bCs/>
          <w:sz w:val="20"/>
          <w:szCs w:val="20"/>
        </w:rPr>
        <w:t>IX. Conclusion</w:t>
      </w:r>
    </w:p>
    <w:p w14:paraId="3F90F3BC" w14:textId="77777777" w:rsidR="00384F1F" w:rsidRP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t xml:space="preserve">We presented </w:t>
      </w:r>
      <w:r w:rsidRPr="00384F1F">
        <w:rPr>
          <w:rFonts w:ascii="Times New Roman" w:hAnsi="Times New Roman" w:cs="Times New Roman"/>
          <w:b/>
          <w:bCs/>
          <w:sz w:val="20"/>
          <w:szCs w:val="20"/>
        </w:rPr>
        <w:t>SDNF</w:t>
      </w:r>
      <w:r w:rsidRPr="00384F1F">
        <w:rPr>
          <w:rFonts w:ascii="Times New Roman" w:hAnsi="Times New Roman" w:cs="Times New Roman"/>
          <w:sz w:val="20"/>
          <w:szCs w:val="20"/>
        </w:rPr>
        <w:t>, a practical framework for governing semantic schemas in embedding</w:t>
      </w:r>
      <w:r w:rsidRPr="00384F1F">
        <w:rPr>
          <w:rFonts w:ascii="Times New Roman" w:hAnsi="Times New Roman" w:cs="Times New Roman"/>
          <w:sz w:val="20"/>
          <w:szCs w:val="20"/>
        </w:rPr>
        <w:noBreakHyphen/>
        <w:t>based systems. By combining a formal SRS model, seven semantic normal forms, and an evidence</w:t>
      </w:r>
      <w:r w:rsidRPr="00384F1F">
        <w:rPr>
          <w:rFonts w:ascii="Times New Roman" w:hAnsi="Times New Roman" w:cs="Times New Roman"/>
          <w:sz w:val="20"/>
          <w:szCs w:val="20"/>
        </w:rPr>
        <w:noBreakHyphen/>
        <w:t>driven governance pipeline with lineage, SDNF reduces redundancy and mitigates semantic anomalies in practice. Theoretical claims are stated conditionally under explicit assumptions; empirical validation on payments payloads shows substantial consolidation and high precision. Further work will broaden domain validation and refine formal convergence under weaker assumptions; proofs and extended experiments are provided in the appendix.</w:t>
      </w:r>
    </w:p>
    <w:p w14:paraId="36E35202" w14:textId="77777777" w:rsidR="00384F1F" w:rsidRDefault="00384F1F" w:rsidP="00384F1F">
      <w:pPr>
        <w:rPr>
          <w:rFonts w:ascii="Times New Roman" w:hAnsi="Times New Roman" w:cs="Times New Roman"/>
          <w:sz w:val="20"/>
          <w:szCs w:val="20"/>
        </w:rPr>
      </w:pPr>
      <w:r w:rsidRPr="00384F1F">
        <w:rPr>
          <w:rFonts w:ascii="Times New Roman" w:hAnsi="Times New Roman" w:cs="Times New Roman"/>
          <w:sz w:val="20"/>
          <w:szCs w:val="20"/>
        </w:rPr>
        <w:pict w14:anchorId="1C12D020">
          <v:rect id="_x0000_i1100" style="width:0;height:1.5pt" o:hralign="center" o:hrstd="t" o:hr="t" fillcolor="#a0a0a0" stroked="f"/>
        </w:pict>
      </w:r>
    </w:p>
    <w:p w14:paraId="53352FD4"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Appendix A — Formal lemmas and proofs (PCA / Lipschitz setting)</w:t>
      </w:r>
    </w:p>
    <w:p w14:paraId="3A78B7B3"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t>This appendix gives formal statements and proofs for Theorems 1–3 from the main text in a simplified, rigorous setting. We work under the PCA/subspace model and Lipschitz/bi</w:t>
      </w:r>
      <w:r w:rsidRPr="008D7638">
        <w:rPr>
          <w:rFonts w:ascii="Times New Roman" w:hAnsi="Times New Roman" w:cs="Times New Roman"/>
          <w:sz w:val="20"/>
          <w:szCs w:val="20"/>
        </w:rPr>
        <w:noBreakHyphen/>
        <w:t>Lipschitz operator assumptions called out below. All vectors are real and finite</w:t>
      </w:r>
      <w:r w:rsidRPr="008D7638">
        <w:rPr>
          <w:rFonts w:ascii="Times New Roman" w:hAnsi="Times New Roman" w:cs="Times New Roman"/>
          <w:sz w:val="20"/>
          <w:szCs w:val="20"/>
        </w:rPr>
        <w:noBreakHyphen/>
        <w:t>dimensional. Notation: (|\</w:t>
      </w:r>
      <w:proofErr w:type="spellStart"/>
      <w:r w:rsidRPr="008D7638">
        <w:rPr>
          <w:rFonts w:ascii="Times New Roman" w:hAnsi="Times New Roman" w:cs="Times New Roman"/>
          <w:sz w:val="20"/>
          <w:szCs w:val="20"/>
        </w:rPr>
        <w:t>cdot</w:t>
      </w:r>
      <w:proofErr w:type="spellEnd"/>
      <w:r w:rsidRPr="008D7638">
        <w:rPr>
          <w:rFonts w:ascii="Times New Roman" w:hAnsi="Times New Roman" w:cs="Times New Roman"/>
          <w:sz w:val="20"/>
          <w:szCs w:val="20"/>
        </w:rPr>
        <w:t>|) denotes the Euclidean norm, (</w:t>
      </w:r>
      <w:proofErr w:type="gramStart"/>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langle</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cdot</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cdot</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rangle</w:t>
      </w:r>
      <w:proofErr w:type="spellEnd"/>
      <w:proofErr w:type="gramEnd"/>
      <w:r w:rsidRPr="008D7638">
        <w:rPr>
          <w:rFonts w:ascii="Times New Roman" w:hAnsi="Times New Roman" w:cs="Times New Roman"/>
          <w:sz w:val="20"/>
          <w:szCs w:val="20"/>
        </w:rPr>
        <w:t>) the Euclidean inner product, and (\</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{S}^{d-1}) the unit sphere in (\</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w:t>
      </w:r>
    </w:p>
    <w:p w14:paraId="442C2625"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1B480694">
          <v:rect id="_x0000_i1312" style="width:0;height:1.5pt" o:hralign="center" o:hrstd="t" o:hr="t" fillcolor="#a0a0a0" stroked="f"/>
        </w:pict>
      </w:r>
    </w:p>
    <w:p w14:paraId="6CC0244B"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A.1. Setup and standing assumptions</w:t>
      </w:r>
    </w:p>
    <w:p w14:paraId="223D3CB2"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t xml:space="preserve">We adopt the following </w:t>
      </w:r>
      <w:r w:rsidRPr="008D7638">
        <w:rPr>
          <w:rFonts w:ascii="Times New Roman" w:hAnsi="Times New Roman" w:cs="Times New Roman"/>
          <w:b/>
          <w:bCs/>
          <w:sz w:val="20"/>
          <w:szCs w:val="20"/>
        </w:rPr>
        <w:t>standing assumptions</w:t>
      </w:r>
      <w:r w:rsidRPr="008D7638">
        <w:rPr>
          <w:rFonts w:ascii="Times New Roman" w:hAnsi="Times New Roman" w:cs="Times New Roman"/>
          <w:sz w:val="20"/>
          <w:szCs w:val="20"/>
        </w:rPr>
        <w:t xml:space="preserve"> for the proofs in this appendix.</w:t>
      </w:r>
    </w:p>
    <w:p w14:paraId="224E3E6D" w14:textId="77777777" w:rsidR="008D7638" w:rsidRPr="008D7638" w:rsidRDefault="008D7638" w:rsidP="008D7638">
      <w:pPr>
        <w:numPr>
          <w:ilvl w:val="0"/>
          <w:numId w:val="24"/>
        </w:numPr>
        <w:rPr>
          <w:rFonts w:ascii="Times New Roman" w:hAnsi="Times New Roman" w:cs="Times New Roman"/>
          <w:sz w:val="20"/>
          <w:szCs w:val="20"/>
        </w:rPr>
      </w:pPr>
      <w:r w:rsidRPr="008D7638">
        <w:rPr>
          <w:rFonts w:ascii="Times New Roman" w:hAnsi="Times New Roman" w:cs="Times New Roman"/>
          <w:b/>
          <w:bCs/>
          <w:sz w:val="20"/>
          <w:szCs w:val="20"/>
        </w:rPr>
        <w:t>(A1) Finite ambient dimension.</w:t>
      </w:r>
      <w:r w:rsidRPr="008D7638">
        <w:rPr>
          <w:rFonts w:ascii="Times New Roman" w:hAnsi="Times New Roman" w:cs="Times New Roman"/>
          <w:sz w:val="20"/>
          <w:szCs w:val="20"/>
        </w:rPr>
        <w:t xml:space="preserve"> Embeddings live in (\</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with fixed (d\in\</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{N}).</w:t>
      </w:r>
    </w:p>
    <w:p w14:paraId="2EBD9332" w14:textId="77777777" w:rsidR="008D7638" w:rsidRPr="008D7638" w:rsidRDefault="008D7638" w:rsidP="008D7638">
      <w:pPr>
        <w:numPr>
          <w:ilvl w:val="0"/>
          <w:numId w:val="24"/>
        </w:numPr>
        <w:rPr>
          <w:rFonts w:ascii="Times New Roman" w:hAnsi="Times New Roman" w:cs="Times New Roman"/>
          <w:sz w:val="20"/>
          <w:szCs w:val="20"/>
        </w:rPr>
      </w:pPr>
      <w:r w:rsidRPr="008D7638">
        <w:rPr>
          <w:rFonts w:ascii="Times New Roman" w:hAnsi="Times New Roman" w:cs="Times New Roman"/>
          <w:b/>
          <w:bCs/>
          <w:sz w:val="20"/>
          <w:szCs w:val="20"/>
        </w:rPr>
        <w:t>(A2) PCA/subspace model for contexts.</w:t>
      </w:r>
      <w:r w:rsidRPr="008D7638">
        <w:rPr>
          <w:rFonts w:ascii="Times New Roman" w:hAnsi="Times New Roman" w:cs="Times New Roman"/>
          <w:sz w:val="20"/>
          <w:szCs w:val="20"/>
        </w:rPr>
        <w:t xml:space="preserve"> For each context (c) there exists a linear subspace (</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\subset\</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of dimension (</w:t>
      </w:r>
      <w:proofErr w:type="spellStart"/>
      <w:r w:rsidRPr="008D7638">
        <w:rPr>
          <w:rFonts w:ascii="Times New Roman" w:hAnsi="Times New Roman" w:cs="Times New Roman"/>
          <w:sz w:val="20"/>
          <w:szCs w:val="20"/>
        </w:rPr>
        <w:t>r_c</w:t>
      </w:r>
      <w:proofErr w:type="spellEnd"/>
      <w:r w:rsidRPr="008D7638">
        <w:rPr>
          <w:rFonts w:ascii="Times New Roman" w:hAnsi="Times New Roman" w:cs="Times New Roman"/>
          <w:sz w:val="20"/>
          <w:szCs w:val="20"/>
        </w:rPr>
        <w:t>\le d) and an orthogonal projector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onto (</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The context projection (\</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w:t>
      </w:r>
      <w:r w:rsidRPr="008D7638">
        <w:rPr>
          <w:rFonts w:ascii="Times New Roman" w:hAnsi="Times New Roman" w:cs="Times New Roman"/>
          <w:i/>
          <w:iCs/>
          <w:sz w:val="20"/>
          <w:szCs w:val="20"/>
        </w:rPr>
        <w:t>c) used in the main text is instantiated as the (possibly regularized) linear map (P</w:t>
      </w:r>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or a close approximation with operator norm (\le\kappa). For the formal lemmas we take (\</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w:t>
      </w:r>
      <w:r w:rsidRPr="008D7638">
        <w:rPr>
          <w:rFonts w:ascii="Times New Roman" w:hAnsi="Times New Roman" w:cs="Times New Roman"/>
          <w:i/>
          <w:iCs/>
          <w:sz w:val="20"/>
          <w:szCs w:val="20"/>
        </w:rPr>
        <w:t>c=P</w:t>
      </w:r>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w:t>
      </w:r>
    </w:p>
    <w:p w14:paraId="39C4B676" w14:textId="77777777" w:rsidR="008D7638" w:rsidRPr="008D7638" w:rsidRDefault="008D7638" w:rsidP="008D7638">
      <w:pPr>
        <w:numPr>
          <w:ilvl w:val="0"/>
          <w:numId w:val="24"/>
        </w:numPr>
        <w:rPr>
          <w:rFonts w:ascii="Times New Roman" w:hAnsi="Times New Roman" w:cs="Times New Roman"/>
          <w:sz w:val="20"/>
          <w:szCs w:val="20"/>
        </w:rPr>
      </w:pPr>
      <w:r w:rsidRPr="008D7638">
        <w:rPr>
          <w:rFonts w:ascii="Times New Roman" w:hAnsi="Times New Roman" w:cs="Times New Roman"/>
          <w:b/>
          <w:bCs/>
          <w:sz w:val="20"/>
          <w:szCs w:val="20"/>
        </w:rPr>
        <w:t>(A3) Subspace separation.</w:t>
      </w:r>
      <w:r w:rsidRPr="008D7638">
        <w:rPr>
          <w:rFonts w:ascii="Times New Roman" w:hAnsi="Times New Roman" w:cs="Times New Roman"/>
          <w:sz w:val="20"/>
          <w:szCs w:val="20"/>
        </w:rPr>
        <w:t xml:space="preserve"> For two contexts (c_1,c_2) define the principal angle (\theta\in[0,\pi/2]) between subspaces (U_{c_1}) and (U_{c_2}) by [ \cos\theta := \sup_{u\in U_{c_1}\cap\</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{S}^{d-1},,v\in U_{c_2}\cap\</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{S}^{d-1}} \</w:t>
      </w:r>
      <w:proofErr w:type="spellStart"/>
      <w:r w:rsidRPr="008D7638">
        <w:rPr>
          <w:rFonts w:ascii="Times New Roman" w:hAnsi="Times New Roman" w:cs="Times New Roman"/>
          <w:sz w:val="20"/>
          <w:szCs w:val="20"/>
        </w:rPr>
        <w:t>langle</w:t>
      </w:r>
      <w:proofErr w:type="spellEnd"/>
      <w:r w:rsidRPr="008D7638">
        <w:rPr>
          <w:rFonts w:ascii="Times New Roman" w:hAnsi="Times New Roman" w:cs="Times New Roman"/>
          <w:sz w:val="20"/>
          <w:szCs w:val="20"/>
        </w:rPr>
        <w:t xml:space="preserve"> </w:t>
      </w:r>
      <w:proofErr w:type="spellStart"/>
      <w:r w:rsidRPr="008D7638">
        <w:rPr>
          <w:rFonts w:ascii="Times New Roman" w:hAnsi="Times New Roman" w:cs="Times New Roman"/>
          <w:sz w:val="20"/>
          <w:szCs w:val="20"/>
        </w:rPr>
        <w:t>u,v</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rangle</w:t>
      </w:r>
      <w:proofErr w:type="spellEnd"/>
      <w:r w:rsidRPr="008D7638">
        <w:rPr>
          <w:rFonts w:ascii="Times New Roman" w:hAnsi="Times New Roman" w:cs="Times New Roman"/>
          <w:sz w:val="20"/>
          <w:szCs w:val="20"/>
        </w:rPr>
        <w:t>. ] We assume (\theta&gt;0) (nontrivial separation) for the contexts considered.</w:t>
      </w:r>
    </w:p>
    <w:p w14:paraId="4A98A9C7" w14:textId="77777777" w:rsidR="008D7638" w:rsidRPr="008D7638" w:rsidRDefault="008D7638" w:rsidP="008D7638">
      <w:pPr>
        <w:numPr>
          <w:ilvl w:val="0"/>
          <w:numId w:val="24"/>
        </w:numPr>
        <w:rPr>
          <w:rFonts w:ascii="Times New Roman" w:hAnsi="Times New Roman" w:cs="Times New Roman"/>
          <w:sz w:val="20"/>
          <w:szCs w:val="20"/>
        </w:rPr>
      </w:pPr>
      <w:r w:rsidRPr="008D7638">
        <w:rPr>
          <w:rFonts w:ascii="Times New Roman" w:hAnsi="Times New Roman" w:cs="Times New Roman"/>
          <w:b/>
          <w:bCs/>
          <w:sz w:val="20"/>
          <w:szCs w:val="20"/>
        </w:rPr>
        <w:t>(A4) Random embedding model (for probabilistic bounds).</w:t>
      </w:r>
      <w:r w:rsidRPr="008D7638">
        <w:rPr>
          <w:rFonts w:ascii="Times New Roman" w:hAnsi="Times New Roman" w:cs="Times New Roman"/>
          <w:sz w:val="20"/>
          <w:szCs w:val="20"/>
        </w:rPr>
        <w:t xml:space="preserve"> For a fixed primitive (p), its context</w:t>
      </w:r>
      <w:r w:rsidRPr="008D7638">
        <w:rPr>
          <w:rFonts w:ascii="Times New Roman" w:hAnsi="Times New Roman" w:cs="Times New Roman"/>
          <w:sz w:val="20"/>
          <w:szCs w:val="20"/>
        </w:rPr>
        <w:noBreakHyphen/>
        <w:t xml:space="preserve">projected embedding in context (c) is </w:t>
      </w:r>
      <w:proofErr w:type="spellStart"/>
      <w:r w:rsidRPr="008D7638">
        <w:rPr>
          <w:rFonts w:ascii="Times New Roman" w:hAnsi="Times New Roman" w:cs="Times New Roman"/>
          <w:sz w:val="20"/>
          <w:szCs w:val="20"/>
        </w:rPr>
        <w:t>modeled</w:t>
      </w:r>
      <w:proofErr w:type="spellEnd"/>
      <w:r w:rsidRPr="008D7638">
        <w:rPr>
          <w:rFonts w:ascii="Times New Roman" w:hAnsi="Times New Roman" w:cs="Times New Roman"/>
          <w:sz w:val="20"/>
          <w:szCs w:val="20"/>
        </w:rPr>
        <w:t xml:space="preserve"> as (</w:t>
      </w:r>
      <w:proofErr w:type="spellStart"/>
      <w:r w:rsidRPr="008D7638">
        <w:rPr>
          <w:rFonts w:ascii="Times New Roman" w:hAnsi="Times New Roman" w:cs="Times New Roman"/>
          <w:sz w:val="20"/>
          <w:szCs w:val="20"/>
        </w:rPr>
        <w:t>x_c</w:t>
      </w:r>
      <w:proofErr w:type="spellEnd"/>
      <w:r w:rsidRPr="008D7638">
        <w:rPr>
          <w:rFonts w:ascii="Times New Roman" w:hAnsi="Times New Roman" w:cs="Times New Roman"/>
          <w:sz w:val="20"/>
          <w:szCs w:val="20"/>
        </w:rPr>
        <w:t xml:space="preserve"> =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xml:space="preserve">} </w:t>
      </w:r>
      <w:proofErr w:type="spellStart"/>
      <w:r w:rsidRPr="008D7638">
        <w:rPr>
          <w:rFonts w:ascii="Times New Roman" w:hAnsi="Times New Roman" w:cs="Times New Roman"/>
          <w:sz w:val="20"/>
          <w:szCs w:val="20"/>
        </w:rPr>
        <w:t>z_c</w:t>
      </w:r>
      <w:proofErr w:type="spellEnd"/>
      <w:r w:rsidRPr="008D7638">
        <w:rPr>
          <w:rFonts w:ascii="Times New Roman" w:hAnsi="Times New Roman" w:cs="Times New Roman"/>
          <w:sz w:val="20"/>
          <w:szCs w:val="20"/>
        </w:rPr>
        <w:t>) where (</w:t>
      </w:r>
      <w:proofErr w:type="spellStart"/>
      <w:r w:rsidRPr="008D7638">
        <w:rPr>
          <w:rFonts w:ascii="Times New Roman" w:hAnsi="Times New Roman" w:cs="Times New Roman"/>
          <w:sz w:val="20"/>
          <w:szCs w:val="20"/>
        </w:rPr>
        <w:t>z_c</w:t>
      </w:r>
      <w:proofErr w:type="spellEnd"/>
      <w:r w:rsidRPr="008D7638">
        <w:rPr>
          <w:rFonts w:ascii="Times New Roman" w:hAnsi="Times New Roman" w:cs="Times New Roman"/>
          <w:sz w:val="20"/>
          <w:szCs w:val="20"/>
        </w:rPr>
        <w:t>) is a random vector in (\</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with isotropic subspace concentration: (</w:t>
      </w:r>
      <w:proofErr w:type="spellStart"/>
      <w:r w:rsidRPr="008D7638">
        <w:rPr>
          <w:rFonts w:ascii="Times New Roman" w:hAnsi="Times New Roman" w:cs="Times New Roman"/>
          <w:sz w:val="20"/>
          <w:szCs w:val="20"/>
        </w:rPr>
        <w:t>z_c</w:t>
      </w:r>
      <w:proofErr w:type="spellEnd"/>
      <w:r w:rsidRPr="008D7638">
        <w:rPr>
          <w:rFonts w:ascii="Times New Roman" w:hAnsi="Times New Roman" w:cs="Times New Roman"/>
          <w:sz w:val="20"/>
          <w:szCs w:val="20"/>
        </w:rPr>
        <w:t>) has mean zero and covariance proportional to the identity on (</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and negligible mass orthogonal to (</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Concretely, we may take (</w:t>
      </w:r>
      <w:proofErr w:type="spellStart"/>
      <w:r w:rsidRPr="008D7638">
        <w:rPr>
          <w:rFonts w:ascii="Times New Roman" w:hAnsi="Times New Roman" w:cs="Times New Roman"/>
          <w:sz w:val="20"/>
          <w:szCs w:val="20"/>
        </w:rPr>
        <w:t>z_c</w:t>
      </w:r>
      <w:proofErr w:type="spellEnd"/>
      <w:r w:rsidRPr="008D7638">
        <w:rPr>
          <w:rFonts w:ascii="Times New Roman" w:hAnsi="Times New Roman" w:cs="Times New Roman"/>
          <w:sz w:val="20"/>
          <w:szCs w:val="20"/>
        </w:rPr>
        <w:t>) distributed as (</w:t>
      </w:r>
      <w:proofErr w:type="gramStart"/>
      <w:r w:rsidRPr="008D7638">
        <w:rPr>
          <w:rFonts w:ascii="Times New Roman" w:hAnsi="Times New Roman" w:cs="Times New Roman"/>
          <w:sz w:val="20"/>
          <w:szCs w:val="20"/>
        </w:rPr>
        <w:t>N(0,\</w:t>
      </w:r>
      <w:proofErr w:type="gramEnd"/>
      <w:r w:rsidRPr="008D7638">
        <w:rPr>
          <w:rFonts w:ascii="Times New Roman" w:hAnsi="Times New Roman" w:cs="Times New Roman"/>
          <w:sz w:val="20"/>
          <w:szCs w:val="20"/>
        </w:rPr>
        <w:t>sigma_c^2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(Deterministic variants are handled by the deterministic lemmas below.)</w:t>
      </w:r>
    </w:p>
    <w:p w14:paraId="5DB61A1F" w14:textId="77777777" w:rsidR="008D7638" w:rsidRPr="008D7638" w:rsidRDefault="008D7638" w:rsidP="008D7638">
      <w:pPr>
        <w:numPr>
          <w:ilvl w:val="0"/>
          <w:numId w:val="24"/>
        </w:numPr>
        <w:rPr>
          <w:rFonts w:ascii="Times New Roman" w:hAnsi="Times New Roman" w:cs="Times New Roman"/>
          <w:sz w:val="20"/>
          <w:szCs w:val="20"/>
        </w:rPr>
      </w:pPr>
      <w:r w:rsidRPr="008D7638">
        <w:rPr>
          <w:rFonts w:ascii="Times New Roman" w:hAnsi="Times New Roman" w:cs="Times New Roman"/>
          <w:b/>
          <w:bCs/>
          <w:sz w:val="20"/>
          <w:szCs w:val="20"/>
        </w:rPr>
        <w:t>(A5) Downstream operator regularity (for Theorem 2).</w:t>
      </w:r>
      <w:r w:rsidRPr="008D7638">
        <w:rPr>
          <w:rFonts w:ascii="Times New Roman" w:hAnsi="Times New Roman" w:cs="Times New Roman"/>
          <w:sz w:val="20"/>
          <w:szCs w:val="20"/>
        </w:rPr>
        <w:t xml:space="preserve"> A downstream operator (O:\</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{R}^d\to\</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 xml:space="preserve">{R}^m) is assumed to be </w:t>
      </w:r>
      <w:r w:rsidRPr="008D7638">
        <w:rPr>
          <w:rFonts w:ascii="Times New Roman" w:hAnsi="Times New Roman" w:cs="Times New Roman"/>
          <w:b/>
          <w:bCs/>
          <w:sz w:val="20"/>
          <w:szCs w:val="20"/>
        </w:rPr>
        <w:t>bi</w:t>
      </w:r>
      <w:r w:rsidRPr="008D7638">
        <w:rPr>
          <w:rFonts w:ascii="Times New Roman" w:hAnsi="Times New Roman" w:cs="Times New Roman"/>
          <w:b/>
          <w:bCs/>
          <w:sz w:val="20"/>
          <w:szCs w:val="20"/>
        </w:rPr>
        <w:noBreakHyphen/>
        <w:t>Lipschitz</w:t>
      </w:r>
      <w:r w:rsidRPr="008D7638">
        <w:rPr>
          <w:rFonts w:ascii="Times New Roman" w:hAnsi="Times New Roman" w:cs="Times New Roman"/>
          <w:sz w:val="20"/>
          <w:szCs w:val="20"/>
        </w:rPr>
        <w:t xml:space="preserve"> on the relevant subset: there exist constants (0&lt;\ell\le L) such that for all (</w:t>
      </w:r>
      <w:proofErr w:type="spellStart"/>
      <w:r w:rsidRPr="008D7638">
        <w:rPr>
          <w:rFonts w:ascii="Times New Roman" w:hAnsi="Times New Roman" w:cs="Times New Roman"/>
          <w:sz w:val="20"/>
          <w:szCs w:val="20"/>
        </w:rPr>
        <w:t>x,y</w:t>
      </w:r>
      <w:proofErr w:type="spellEnd"/>
      <w:r w:rsidRPr="008D7638">
        <w:rPr>
          <w:rFonts w:ascii="Times New Roman" w:hAnsi="Times New Roman" w:cs="Times New Roman"/>
          <w:sz w:val="20"/>
          <w:szCs w:val="20"/>
        </w:rPr>
        <w:t>) in the set of interest, [ \</w:t>
      </w:r>
      <w:proofErr w:type="spellStart"/>
      <w:r w:rsidRPr="008D7638">
        <w:rPr>
          <w:rFonts w:ascii="Times New Roman" w:hAnsi="Times New Roman" w:cs="Times New Roman"/>
          <w:sz w:val="20"/>
          <w:szCs w:val="20"/>
        </w:rPr>
        <w:t>ell|x-y</w:t>
      </w:r>
      <w:proofErr w:type="spellEnd"/>
      <w:r w:rsidRPr="008D7638">
        <w:rPr>
          <w:rFonts w:ascii="Times New Roman" w:hAnsi="Times New Roman" w:cs="Times New Roman"/>
          <w:sz w:val="20"/>
          <w:szCs w:val="20"/>
        </w:rPr>
        <w:t xml:space="preserve">| \le |O(x)-O(y)| \le </w:t>
      </w:r>
      <w:proofErr w:type="spellStart"/>
      <w:r w:rsidRPr="008D7638">
        <w:rPr>
          <w:rFonts w:ascii="Times New Roman" w:hAnsi="Times New Roman" w:cs="Times New Roman"/>
          <w:sz w:val="20"/>
          <w:szCs w:val="20"/>
        </w:rPr>
        <w:t>L|x-y</w:t>
      </w:r>
      <w:proofErr w:type="spellEnd"/>
      <w:r w:rsidRPr="008D7638">
        <w:rPr>
          <w:rFonts w:ascii="Times New Roman" w:hAnsi="Times New Roman" w:cs="Times New Roman"/>
          <w:sz w:val="20"/>
          <w:szCs w:val="20"/>
        </w:rPr>
        <w:t>|. ] The upper bound is the usual Lipschitz condition; the lower bound is a sensitivity condition ensuring that semantic changes in embedding space are reflected in outputs.</w:t>
      </w:r>
    </w:p>
    <w:p w14:paraId="2E150781"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lastRenderedPageBreak/>
        <w:t>These assumptions are standard simplifications that make the PCA/subspace setting mathematically tractable while capturing the phenomena discussed in the main text (context separation, projection, and drift sensitivity). Proofs below explicitly reference which assumptions are used.</w:t>
      </w:r>
    </w:p>
    <w:p w14:paraId="77CDBD72"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35310B0C">
          <v:rect id="_x0000_i1313" style="width:0;height:1.5pt" o:hralign="center" o:hrstd="t" o:hr="t" fillcolor="#a0a0a0" stroked="f"/>
        </w:pict>
      </w:r>
    </w:p>
    <w:p w14:paraId="2AE9B999"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A.2. Lemmas on projections and subspace angles</w:t>
      </w:r>
    </w:p>
    <w:p w14:paraId="6381EDBC"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b/>
          <w:bCs/>
          <w:sz w:val="20"/>
          <w:szCs w:val="20"/>
        </w:rPr>
        <w:t>Lemma A.1 (Inner product bound from subspace angle).</w:t>
      </w:r>
      <w:r w:rsidRPr="008D7638">
        <w:rPr>
          <w:rFonts w:ascii="Times New Roman" w:hAnsi="Times New Roman" w:cs="Times New Roman"/>
          <w:sz w:val="20"/>
          <w:szCs w:val="20"/>
        </w:rPr>
        <w:t xml:space="preserve"> </w:t>
      </w:r>
      <w:r w:rsidRPr="008D7638">
        <w:rPr>
          <w:rFonts w:ascii="Times New Roman" w:hAnsi="Times New Roman" w:cs="Times New Roman"/>
          <w:sz w:val="20"/>
          <w:szCs w:val="20"/>
        </w:rPr>
        <w:br/>
        <w:t>Let (</w:t>
      </w:r>
      <w:proofErr w:type="gramStart"/>
      <w:r w:rsidRPr="008D7638">
        <w:rPr>
          <w:rFonts w:ascii="Times New Roman" w:hAnsi="Times New Roman" w:cs="Times New Roman"/>
          <w:sz w:val="20"/>
          <w:szCs w:val="20"/>
        </w:rPr>
        <w:t>U,V</w:t>
      </w:r>
      <w:proofErr w:type="gramEnd"/>
      <w:r w:rsidRPr="008D7638">
        <w:rPr>
          <w:rFonts w:ascii="Times New Roman" w:hAnsi="Times New Roman" w:cs="Times New Roman"/>
          <w:sz w:val="20"/>
          <w:szCs w:val="20"/>
        </w:rPr>
        <w:t>\subset\</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be linear subspaces with principal angle (\theta\in[</w:t>
      </w:r>
      <w:proofErr w:type="gramStart"/>
      <w:r w:rsidRPr="008D7638">
        <w:rPr>
          <w:rFonts w:ascii="Times New Roman" w:hAnsi="Times New Roman" w:cs="Times New Roman"/>
          <w:sz w:val="20"/>
          <w:szCs w:val="20"/>
        </w:rPr>
        <w:t>0,\pi/2</w:t>
      </w:r>
      <w:proofErr w:type="gramEnd"/>
      <w:r w:rsidRPr="008D7638">
        <w:rPr>
          <w:rFonts w:ascii="Times New Roman" w:hAnsi="Times New Roman" w:cs="Times New Roman"/>
          <w:sz w:val="20"/>
          <w:szCs w:val="20"/>
        </w:rPr>
        <w:t>]) as in (A3). For any unit vectors (u\in U\cap\</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{S}^{d-1}) and (v\in V\cap\</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{S}^{d-1}), [ |\</w:t>
      </w:r>
      <w:proofErr w:type="spellStart"/>
      <w:r w:rsidRPr="008D7638">
        <w:rPr>
          <w:rFonts w:ascii="Times New Roman" w:hAnsi="Times New Roman" w:cs="Times New Roman"/>
          <w:sz w:val="20"/>
          <w:szCs w:val="20"/>
        </w:rPr>
        <w:t>langle</w:t>
      </w:r>
      <w:proofErr w:type="spellEnd"/>
      <w:r w:rsidRPr="008D7638">
        <w:rPr>
          <w:rFonts w:ascii="Times New Roman" w:hAnsi="Times New Roman" w:cs="Times New Roman"/>
          <w:sz w:val="20"/>
          <w:szCs w:val="20"/>
        </w:rPr>
        <w:t xml:space="preserve"> </w:t>
      </w:r>
      <w:proofErr w:type="spellStart"/>
      <w:proofErr w:type="gramStart"/>
      <w:r w:rsidRPr="008D7638">
        <w:rPr>
          <w:rFonts w:ascii="Times New Roman" w:hAnsi="Times New Roman" w:cs="Times New Roman"/>
          <w:sz w:val="20"/>
          <w:szCs w:val="20"/>
        </w:rPr>
        <w:t>u,v</w:t>
      </w:r>
      <w:proofErr w:type="spellEnd"/>
      <w:proofErr w:type="gram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rangle</w:t>
      </w:r>
      <w:proofErr w:type="spellEnd"/>
      <w:r w:rsidRPr="008D7638">
        <w:rPr>
          <w:rFonts w:ascii="Times New Roman" w:hAnsi="Times New Roman" w:cs="Times New Roman"/>
          <w:sz w:val="20"/>
          <w:szCs w:val="20"/>
        </w:rPr>
        <w:t>| \le \cos\theta</w:t>
      </w:r>
      <w:proofErr w:type="gramStart"/>
      <w:r w:rsidRPr="008D7638">
        <w:rPr>
          <w:rFonts w:ascii="Times New Roman" w:hAnsi="Times New Roman" w:cs="Times New Roman"/>
          <w:sz w:val="20"/>
          <w:szCs w:val="20"/>
        </w:rPr>
        <w:t>. ]</w:t>
      </w:r>
      <w:proofErr w:type="gramEnd"/>
    </w:p>
    <w:p w14:paraId="0A8A2642"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Proof.</w:t>
      </w:r>
      <w:r w:rsidRPr="008D7638">
        <w:rPr>
          <w:rFonts w:ascii="Times New Roman" w:hAnsi="Times New Roman" w:cs="Times New Roman"/>
          <w:sz w:val="20"/>
          <w:szCs w:val="20"/>
        </w:rPr>
        <w:t xml:space="preserve"> This is the definition of the principal angle: (\cos\theta) is the maximum possible inner product between unit vectors in the two subspaces. (\square)</w:t>
      </w:r>
    </w:p>
    <w:p w14:paraId="70EA6719"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35819670">
          <v:rect id="_x0000_i1314" style="width:0;height:1.5pt" o:hralign="center" o:hrstd="t" o:hr="t" fillcolor="#a0a0a0" stroked="f"/>
        </w:pict>
      </w:r>
    </w:p>
    <w:p w14:paraId="6B8221F7"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b/>
          <w:bCs/>
          <w:sz w:val="20"/>
          <w:szCs w:val="20"/>
        </w:rPr>
        <w:t>Lemma A.2 (Projection norm and idempotence).</w:t>
      </w:r>
      <w:r w:rsidRPr="008D7638">
        <w:rPr>
          <w:rFonts w:ascii="Times New Roman" w:hAnsi="Times New Roman" w:cs="Times New Roman"/>
          <w:sz w:val="20"/>
          <w:szCs w:val="20"/>
        </w:rPr>
        <w:t xml:space="preserve"> </w:t>
      </w:r>
      <w:r w:rsidRPr="008D7638">
        <w:rPr>
          <w:rFonts w:ascii="Times New Roman" w:hAnsi="Times New Roman" w:cs="Times New Roman"/>
          <w:sz w:val="20"/>
          <w:szCs w:val="20"/>
        </w:rPr>
        <w:br/>
        <w:t>Let (P_U) be the orthogonal projector onto subspace (U). Then (|P_U|=1) and (P_U^2=P_U). If (\</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 is an approximation with (|\</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w:t>
      </w:r>
      <w:r w:rsidRPr="008D7638">
        <w:rPr>
          <w:rFonts w:ascii="Times New Roman" w:hAnsi="Times New Roman" w:cs="Times New Roman"/>
          <w:i/>
          <w:iCs/>
          <w:sz w:val="20"/>
          <w:szCs w:val="20"/>
        </w:rPr>
        <w:t>c-P</w:t>
      </w:r>
      <w:r w:rsidRPr="008D7638">
        <w:rPr>
          <w:rFonts w:ascii="Times New Roman" w:hAnsi="Times New Roman" w:cs="Times New Roman"/>
          <w:sz w:val="20"/>
          <w:szCs w:val="20"/>
        </w:rPr>
        <w:t>{U}|\le\delta), then (|\</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}_c|\le 1+\delta) and (|\</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}_c^2-\</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}_c|\le 2\delta + \delta^2).</w:t>
      </w:r>
    </w:p>
    <w:p w14:paraId="7A5DF28B"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Proof.</w:t>
      </w:r>
      <w:r w:rsidRPr="008D7638">
        <w:rPr>
          <w:rFonts w:ascii="Times New Roman" w:hAnsi="Times New Roman" w:cs="Times New Roman"/>
          <w:sz w:val="20"/>
          <w:szCs w:val="20"/>
        </w:rPr>
        <w:t xml:space="preserve"> Standard linear algebra facts about orthogonal projectors yield (|P_U|=1) and idempotence. For the approximation bounds use </w:t>
      </w:r>
      <w:proofErr w:type="spellStart"/>
      <w:r w:rsidRPr="008D7638">
        <w:rPr>
          <w:rFonts w:ascii="Times New Roman" w:hAnsi="Times New Roman" w:cs="Times New Roman"/>
          <w:sz w:val="20"/>
          <w:szCs w:val="20"/>
        </w:rPr>
        <w:t>submultiplicativity</w:t>
      </w:r>
      <w:proofErr w:type="spellEnd"/>
      <w:r w:rsidRPr="008D7638">
        <w:rPr>
          <w:rFonts w:ascii="Times New Roman" w:hAnsi="Times New Roman" w:cs="Times New Roman"/>
          <w:sz w:val="20"/>
          <w:szCs w:val="20"/>
        </w:rPr>
        <w:t xml:space="preserve"> and triangle inequality: [ |\</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}_c^2-\</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 = |(\</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}_c-P_U)\</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 + P_U(\</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}_c-P_U)| \le |\</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}_c-P_U||\</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 + |P_U||\</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}_c-P_U|. ] Bounding (|\</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w:t>
      </w:r>
      <w:proofErr w:type="spellStart"/>
      <w:r w:rsidRPr="008D7638">
        <w:rPr>
          <w:rFonts w:ascii="Times New Roman" w:hAnsi="Times New Roman" w:cs="Times New Roman"/>
          <w:sz w:val="20"/>
          <w:szCs w:val="20"/>
        </w:rPr>
        <w:t>le|P_U</w:t>
      </w:r>
      <w:proofErr w:type="spellEnd"/>
      <w:r w:rsidRPr="008D7638">
        <w:rPr>
          <w:rFonts w:ascii="Times New Roman" w:hAnsi="Times New Roman" w:cs="Times New Roman"/>
          <w:sz w:val="20"/>
          <w:szCs w:val="20"/>
        </w:rPr>
        <w:t>|+|\</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spellStart"/>
      <w:proofErr w:type="gramEnd"/>
      <w:r w:rsidRPr="008D7638">
        <w:rPr>
          <w:rFonts w:ascii="Times New Roman" w:hAnsi="Times New Roman" w:cs="Times New Roman"/>
          <w:sz w:val="20"/>
          <w:szCs w:val="20"/>
        </w:rPr>
        <w:t>Proj</w:t>
      </w:r>
      <w:proofErr w:type="spellEnd"/>
      <w:r w:rsidRPr="008D7638">
        <w:rPr>
          <w:rFonts w:ascii="Times New Roman" w:hAnsi="Times New Roman" w:cs="Times New Roman"/>
          <w:sz w:val="20"/>
          <w:szCs w:val="20"/>
        </w:rPr>
        <w:t>}_c-P_U|\le 1+\delta) yields the stated bound. (\square)</w:t>
      </w:r>
    </w:p>
    <w:p w14:paraId="012EBB68"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477520AD">
          <v:rect id="_x0000_i1315" style="width:0;height:1.5pt" o:hralign="center" o:hrstd="t" o:hr="t" fillcolor="#a0a0a0" stroked="f"/>
        </w:pict>
      </w:r>
    </w:p>
    <w:p w14:paraId="78D83076"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A.3. Concentration of inner products (Gaussian model)</w:t>
      </w:r>
    </w:p>
    <w:p w14:paraId="18C81B1A"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t>We will use a standard concentration bound for inner products of Gaussian vectors restricted to subspaces.</w:t>
      </w:r>
    </w:p>
    <w:p w14:paraId="4FC4799A"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b/>
          <w:bCs/>
          <w:sz w:val="20"/>
          <w:szCs w:val="20"/>
        </w:rPr>
        <w:t>Lemma A.3 (Gaussian inner product concentration).</w:t>
      </w:r>
      <w:r w:rsidRPr="008D7638">
        <w:rPr>
          <w:rFonts w:ascii="Times New Roman" w:hAnsi="Times New Roman" w:cs="Times New Roman"/>
          <w:sz w:val="20"/>
          <w:szCs w:val="20"/>
        </w:rPr>
        <w:t xml:space="preserve"> </w:t>
      </w:r>
      <w:r w:rsidRPr="008D7638">
        <w:rPr>
          <w:rFonts w:ascii="Times New Roman" w:hAnsi="Times New Roman" w:cs="Times New Roman"/>
          <w:sz w:val="20"/>
          <w:szCs w:val="20"/>
        </w:rPr>
        <w:br/>
        <w:t xml:space="preserve">Let (x\sim </w:t>
      </w:r>
      <w:proofErr w:type="gramStart"/>
      <w:r w:rsidRPr="008D7638">
        <w:rPr>
          <w:rFonts w:ascii="Times New Roman" w:hAnsi="Times New Roman" w:cs="Times New Roman"/>
          <w:sz w:val="20"/>
          <w:szCs w:val="20"/>
        </w:rPr>
        <w:t>N(0,\</w:t>
      </w:r>
      <w:proofErr w:type="gramEnd"/>
      <w:r w:rsidRPr="008D7638">
        <w:rPr>
          <w:rFonts w:ascii="Times New Roman" w:hAnsi="Times New Roman" w:cs="Times New Roman"/>
          <w:sz w:val="20"/>
          <w:szCs w:val="20"/>
        </w:rPr>
        <w:t xml:space="preserve">sigma_x^2 P_U)) and (y\sim </w:t>
      </w:r>
      <w:proofErr w:type="gramStart"/>
      <w:r w:rsidRPr="008D7638">
        <w:rPr>
          <w:rFonts w:ascii="Times New Roman" w:hAnsi="Times New Roman" w:cs="Times New Roman"/>
          <w:sz w:val="20"/>
          <w:szCs w:val="20"/>
        </w:rPr>
        <w:t>N(0,\</w:t>
      </w:r>
      <w:proofErr w:type="gramEnd"/>
      <w:r w:rsidRPr="008D7638">
        <w:rPr>
          <w:rFonts w:ascii="Times New Roman" w:hAnsi="Times New Roman" w:cs="Times New Roman"/>
          <w:sz w:val="20"/>
          <w:szCs w:val="20"/>
        </w:rPr>
        <w:t>sigma_y^2 P_V)) be independent Gaussian vectors supported on subspaces (</w:t>
      </w:r>
      <w:proofErr w:type="gramStart"/>
      <w:r w:rsidRPr="008D7638">
        <w:rPr>
          <w:rFonts w:ascii="Times New Roman" w:hAnsi="Times New Roman" w:cs="Times New Roman"/>
          <w:sz w:val="20"/>
          <w:szCs w:val="20"/>
        </w:rPr>
        <w:t>U,V</w:t>
      </w:r>
      <w:proofErr w:type="gramEnd"/>
      <w:r w:rsidRPr="008D7638">
        <w:rPr>
          <w:rFonts w:ascii="Times New Roman" w:hAnsi="Times New Roman" w:cs="Times New Roman"/>
          <w:sz w:val="20"/>
          <w:szCs w:val="20"/>
        </w:rPr>
        <w:t>) respectively. Let (u=\frac{x}{|x|}) and (v=\frac{y}{|y|}) be their normalized directions (condition on nonzero norms). Then for any (t&gt;0), [ \</w:t>
      </w:r>
      <w:proofErr w:type="spellStart"/>
      <w:r w:rsidRPr="008D7638">
        <w:rPr>
          <w:rFonts w:ascii="Times New Roman" w:hAnsi="Times New Roman" w:cs="Times New Roman"/>
          <w:sz w:val="20"/>
          <w:szCs w:val="20"/>
        </w:rPr>
        <w:t>Pr</w:t>
      </w:r>
      <w:proofErr w:type="spellEnd"/>
      <w:r w:rsidRPr="008D7638">
        <w:rPr>
          <w:rFonts w:ascii="Times New Roman" w:hAnsi="Times New Roman" w:cs="Times New Roman"/>
          <w:sz w:val="20"/>
          <w:szCs w:val="20"/>
        </w:rPr>
        <w:t>\big(|\</w:t>
      </w:r>
      <w:proofErr w:type="spellStart"/>
      <w:r w:rsidRPr="008D7638">
        <w:rPr>
          <w:rFonts w:ascii="Times New Roman" w:hAnsi="Times New Roman" w:cs="Times New Roman"/>
          <w:sz w:val="20"/>
          <w:szCs w:val="20"/>
        </w:rPr>
        <w:t>langle</w:t>
      </w:r>
      <w:proofErr w:type="spellEnd"/>
      <w:r w:rsidRPr="008D7638">
        <w:rPr>
          <w:rFonts w:ascii="Times New Roman" w:hAnsi="Times New Roman" w:cs="Times New Roman"/>
          <w:sz w:val="20"/>
          <w:szCs w:val="20"/>
        </w:rPr>
        <w:t xml:space="preserve"> </w:t>
      </w:r>
      <w:proofErr w:type="spellStart"/>
      <w:r w:rsidRPr="008D7638">
        <w:rPr>
          <w:rFonts w:ascii="Times New Roman" w:hAnsi="Times New Roman" w:cs="Times New Roman"/>
          <w:sz w:val="20"/>
          <w:szCs w:val="20"/>
        </w:rPr>
        <w:t>u,v</w:t>
      </w:r>
      <w:proofErr w:type="spell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rangle</w:t>
      </w:r>
      <w:proofErr w:type="spellEnd"/>
      <w:r w:rsidRPr="008D7638">
        <w:rPr>
          <w:rFonts w:ascii="Times New Roman" w:hAnsi="Times New Roman" w:cs="Times New Roman"/>
          <w:sz w:val="20"/>
          <w:szCs w:val="20"/>
        </w:rPr>
        <w:t>| \</w:t>
      </w:r>
      <w:proofErr w:type="spellStart"/>
      <w:r w:rsidRPr="008D7638">
        <w:rPr>
          <w:rFonts w:ascii="Times New Roman" w:hAnsi="Times New Roman" w:cs="Times New Roman"/>
          <w:sz w:val="20"/>
          <w:szCs w:val="20"/>
        </w:rPr>
        <w:t>ge</w:t>
      </w:r>
      <w:proofErr w:type="spellEnd"/>
      <w:r w:rsidRPr="008D7638">
        <w:rPr>
          <w:rFonts w:ascii="Times New Roman" w:hAnsi="Times New Roman" w:cs="Times New Roman"/>
          <w:sz w:val="20"/>
          <w:szCs w:val="20"/>
        </w:rPr>
        <w:t xml:space="preserve"> t\big) \le 2\exp\big(-</w:t>
      </w:r>
      <w:proofErr w:type="spellStart"/>
      <w:r w:rsidRPr="008D7638">
        <w:rPr>
          <w:rFonts w:ascii="Times New Roman" w:hAnsi="Times New Roman" w:cs="Times New Roman"/>
          <w:sz w:val="20"/>
          <w:szCs w:val="20"/>
        </w:rPr>
        <w:t>c,d</w:t>
      </w:r>
      <w:proofErr w:type="spellEnd"/>
      <w:r w:rsidRPr="008D7638">
        <w:rPr>
          <w:rFonts w:ascii="Times New Roman" w:hAnsi="Times New Roman" w:cs="Times New Roman"/>
          <w:sz w:val="20"/>
          <w:szCs w:val="20"/>
        </w:rPr>
        <w:t>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{eff}},t^2\big), ] where (d_{\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{eff}}) is an effective dimension proportional to (\min(\dim U,\dim V)) and (c&gt;0) is an absolute constant.</w:t>
      </w:r>
    </w:p>
    <w:p w14:paraId="3F79FBE3"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Sketch of proof.</w:t>
      </w:r>
      <w:r w:rsidRPr="008D7638">
        <w:rPr>
          <w:rFonts w:ascii="Times New Roman" w:hAnsi="Times New Roman" w:cs="Times New Roman"/>
          <w:sz w:val="20"/>
          <w:szCs w:val="20"/>
        </w:rPr>
        <w:t xml:space="preserve"> For Gaussian vectors in subspaces, the inner product of normalized directions concentrates around its mean (which is bounded by (\cos\theta) from Lemma A.1). The concentration follows from standard Gaussian concentration (e.g., Lipschitz function of Gaussian vector) or from tail bounds for quadratic forms; see Boucheron–Lugosi–Massart for details. The dependence on effective dimension arises because variance of inner product scales inversely with subspace dimension. (\square)</w:t>
      </w:r>
    </w:p>
    <w:p w14:paraId="45C0FF5E"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73736C74">
          <v:rect id="_x0000_i1316" style="width:0;height:1.5pt" o:hralign="center" o:hrstd="t" o:hr="t" fillcolor="#a0a0a0" stroked="f"/>
        </w:pict>
      </w:r>
    </w:p>
    <w:p w14:paraId="18119311"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A.4. Theorem 1 (CMNF Cross</w:t>
      </w:r>
      <w:r w:rsidRPr="008D7638">
        <w:rPr>
          <w:rFonts w:ascii="Times New Roman" w:hAnsi="Times New Roman" w:cs="Times New Roman"/>
          <w:b/>
          <w:bCs/>
          <w:sz w:val="20"/>
          <w:szCs w:val="20"/>
        </w:rPr>
        <w:noBreakHyphen/>
        <w:t>Context Safety) — formal statement and proof</w:t>
      </w:r>
    </w:p>
    <w:p w14:paraId="7543A573"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b/>
          <w:bCs/>
          <w:sz w:val="20"/>
          <w:szCs w:val="20"/>
        </w:rPr>
        <w:t>Theorem A.1 (CMNF safety, PCA/Gaussian model).</w:t>
      </w:r>
      <w:r w:rsidRPr="008D7638">
        <w:rPr>
          <w:rFonts w:ascii="Times New Roman" w:hAnsi="Times New Roman" w:cs="Times New Roman"/>
          <w:sz w:val="20"/>
          <w:szCs w:val="20"/>
        </w:rPr>
        <w:t xml:space="preserve"> </w:t>
      </w:r>
      <w:r w:rsidRPr="008D7638">
        <w:rPr>
          <w:rFonts w:ascii="Times New Roman" w:hAnsi="Times New Roman" w:cs="Times New Roman"/>
          <w:sz w:val="20"/>
          <w:szCs w:val="20"/>
        </w:rPr>
        <w:br/>
        <w:t>Under assumptions (A1)–(A4), let contexts (c_</w:t>
      </w:r>
      <w:proofErr w:type="gramStart"/>
      <w:r w:rsidRPr="008D7638">
        <w:rPr>
          <w:rFonts w:ascii="Times New Roman" w:hAnsi="Times New Roman" w:cs="Times New Roman"/>
          <w:sz w:val="20"/>
          <w:szCs w:val="20"/>
        </w:rPr>
        <w:t>1,c</w:t>
      </w:r>
      <w:proofErr w:type="gramEnd"/>
      <w:r w:rsidRPr="008D7638">
        <w:rPr>
          <w:rFonts w:ascii="Times New Roman" w:hAnsi="Times New Roman" w:cs="Times New Roman"/>
          <w:sz w:val="20"/>
          <w:szCs w:val="20"/>
        </w:rPr>
        <w:t>_2) have subspaces (U_{c_1</w:t>
      </w:r>
      <w:proofErr w:type="gramStart"/>
      <w:r w:rsidRPr="008D7638">
        <w:rPr>
          <w:rFonts w:ascii="Times New Roman" w:hAnsi="Times New Roman" w:cs="Times New Roman"/>
          <w:sz w:val="20"/>
          <w:szCs w:val="20"/>
        </w:rPr>
        <w:t>},U</w:t>
      </w:r>
      <w:proofErr w:type="gramEnd"/>
      <w:r w:rsidRPr="008D7638">
        <w:rPr>
          <w:rFonts w:ascii="Times New Roman" w:hAnsi="Times New Roman" w:cs="Times New Roman"/>
          <w:sz w:val="20"/>
          <w:szCs w:val="20"/>
        </w:rPr>
        <w:t>_{c_2}) with principal angle (\theta). Suppose for all primitives (p) the context</w:t>
      </w:r>
      <w:r w:rsidRPr="008D7638">
        <w:rPr>
          <w:rFonts w:ascii="Times New Roman" w:hAnsi="Times New Roman" w:cs="Times New Roman"/>
          <w:sz w:val="20"/>
          <w:szCs w:val="20"/>
        </w:rPr>
        <w:noBreakHyphen/>
        <w:t>projected embeddings are (x_{c_1}=P_{U_{c_1}} z_{c_1}) and (x_{c_2}=P_{U_{c_2}} z_{c_2}) with (z_{</w:t>
      </w:r>
      <w:proofErr w:type="spellStart"/>
      <w:r w:rsidRPr="008D7638">
        <w:rPr>
          <w:rFonts w:ascii="Times New Roman" w:hAnsi="Times New Roman" w:cs="Times New Roman"/>
          <w:sz w:val="20"/>
          <w:szCs w:val="20"/>
        </w:rPr>
        <w:t>c_i</w:t>
      </w:r>
      <w:proofErr w:type="spellEnd"/>
      <w:r w:rsidRPr="008D7638">
        <w:rPr>
          <w:rFonts w:ascii="Times New Roman" w:hAnsi="Times New Roman" w:cs="Times New Roman"/>
          <w:sz w:val="20"/>
          <w:szCs w:val="20"/>
        </w:rPr>
        <w:t>}\sim N(0,\sigma_{</w:t>
      </w:r>
      <w:proofErr w:type="spellStart"/>
      <w:r w:rsidRPr="008D7638">
        <w:rPr>
          <w:rFonts w:ascii="Times New Roman" w:hAnsi="Times New Roman" w:cs="Times New Roman"/>
          <w:sz w:val="20"/>
          <w:szCs w:val="20"/>
        </w:rPr>
        <w:t>c_i</w:t>
      </w:r>
      <w:proofErr w:type="spellEnd"/>
      <w:r w:rsidRPr="008D7638">
        <w:rPr>
          <w:rFonts w:ascii="Times New Roman" w:hAnsi="Times New Roman" w:cs="Times New Roman"/>
          <w:sz w:val="20"/>
          <w:szCs w:val="20"/>
        </w:rPr>
        <w:t>}^2 P_{U_{</w:t>
      </w:r>
      <w:proofErr w:type="spellStart"/>
      <w:r w:rsidRPr="008D7638">
        <w:rPr>
          <w:rFonts w:ascii="Times New Roman" w:hAnsi="Times New Roman" w:cs="Times New Roman"/>
          <w:sz w:val="20"/>
          <w:szCs w:val="20"/>
        </w:rPr>
        <w:t>c_i</w:t>
      </w:r>
      <w:proofErr w:type="spellEnd"/>
      <w:r w:rsidRPr="008D7638">
        <w:rPr>
          <w:rFonts w:ascii="Times New Roman" w:hAnsi="Times New Roman" w:cs="Times New Roman"/>
          <w:sz w:val="20"/>
          <w:szCs w:val="20"/>
        </w:rPr>
        <w:t>}})) independent. Then for any retrieval threshold (t&gt;0), [ \</w:t>
      </w:r>
      <w:proofErr w:type="spellStart"/>
      <w:r w:rsidRPr="008D7638">
        <w:rPr>
          <w:rFonts w:ascii="Times New Roman" w:hAnsi="Times New Roman" w:cs="Times New Roman"/>
          <w:sz w:val="20"/>
          <w:szCs w:val="20"/>
        </w:rPr>
        <w:t>Pr</w:t>
      </w:r>
      <w:proofErr w:type="spellEnd"/>
      <w:r w:rsidRPr="008D7638">
        <w:rPr>
          <w:rFonts w:ascii="Times New Roman" w:hAnsi="Times New Roman" w:cs="Times New Roman"/>
          <w:sz w:val="20"/>
          <w:szCs w:val="20"/>
        </w:rPr>
        <w:t>\big(\</w:t>
      </w:r>
      <w:proofErr w:type="spellStart"/>
      <w:r w:rsidRPr="008D7638">
        <w:rPr>
          <w:rFonts w:ascii="Times New Roman" w:hAnsi="Times New Roman" w:cs="Times New Roman"/>
          <w:sz w:val="20"/>
          <w:szCs w:val="20"/>
        </w:rPr>
        <w:t>langle</w:t>
      </w:r>
      <w:proofErr w:type="spellEnd"/>
      <w:r w:rsidRPr="008D7638">
        <w:rPr>
          <w:rFonts w:ascii="Times New Roman" w:hAnsi="Times New Roman" w:cs="Times New Roman"/>
          <w:sz w:val="20"/>
          <w:szCs w:val="20"/>
        </w:rPr>
        <w:t xml:space="preserve"> x_{c_1}/|x_{c_1}|,;x_{c_2}/|x_{c_2}|\</w:t>
      </w:r>
      <w:proofErr w:type="spellStart"/>
      <w:r w:rsidRPr="008D7638">
        <w:rPr>
          <w:rFonts w:ascii="Times New Roman" w:hAnsi="Times New Roman" w:cs="Times New Roman"/>
          <w:sz w:val="20"/>
          <w:szCs w:val="20"/>
        </w:rPr>
        <w:t>rangle</w:t>
      </w:r>
      <w:proofErr w:type="spellEnd"/>
      <w:r w:rsidRPr="008D7638">
        <w:rPr>
          <w:rFonts w:ascii="Times New Roman" w:hAnsi="Times New Roman" w:cs="Times New Roman"/>
          <w:sz w:val="20"/>
          <w:szCs w:val="20"/>
        </w:rPr>
        <w:t xml:space="preserve"> \</w:t>
      </w:r>
      <w:proofErr w:type="spellStart"/>
      <w:r w:rsidRPr="008D7638">
        <w:rPr>
          <w:rFonts w:ascii="Times New Roman" w:hAnsi="Times New Roman" w:cs="Times New Roman"/>
          <w:sz w:val="20"/>
          <w:szCs w:val="20"/>
        </w:rPr>
        <w:t>ge</w:t>
      </w:r>
      <w:proofErr w:type="spellEnd"/>
      <w:r w:rsidRPr="008D7638">
        <w:rPr>
          <w:rFonts w:ascii="Times New Roman" w:hAnsi="Times New Roman" w:cs="Times New Roman"/>
          <w:sz w:val="20"/>
          <w:szCs w:val="20"/>
        </w:rPr>
        <w:t xml:space="preserve"> \cos\theta + t\big) \le 2\exp\big(-</w:t>
      </w:r>
      <w:proofErr w:type="spellStart"/>
      <w:r w:rsidRPr="008D7638">
        <w:rPr>
          <w:rFonts w:ascii="Times New Roman" w:hAnsi="Times New Roman" w:cs="Times New Roman"/>
          <w:sz w:val="20"/>
          <w:szCs w:val="20"/>
        </w:rPr>
        <w:t>c,d</w:t>
      </w:r>
      <w:proofErr w:type="spellEnd"/>
      <w:r w:rsidRPr="008D7638">
        <w:rPr>
          <w:rFonts w:ascii="Times New Roman" w:hAnsi="Times New Roman" w:cs="Times New Roman"/>
          <w:sz w:val="20"/>
          <w:szCs w:val="20"/>
        </w:rPr>
        <w:t>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{eff}},t^2\big), ] where (d_{\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 xml:space="preserve">{eff}}=\min(\dim </w:t>
      </w:r>
      <w:r w:rsidRPr="008D7638">
        <w:rPr>
          <w:rFonts w:ascii="Times New Roman" w:hAnsi="Times New Roman" w:cs="Times New Roman"/>
          <w:sz w:val="20"/>
          <w:szCs w:val="20"/>
        </w:rPr>
        <w:lastRenderedPageBreak/>
        <w:t>U_{c_1},\dim U_{c_2})) and (c&gt;0) is an absolute constant. Consequently, if (\tau_{\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{CMNF}}) is chosen so that (\tau_{\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{CMNF}} \</w:t>
      </w:r>
      <w:proofErr w:type="spellStart"/>
      <w:r w:rsidRPr="008D7638">
        <w:rPr>
          <w:rFonts w:ascii="Times New Roman" w:hAnsi="Times New Roman" w:cs="Times New Roman"/>
          <w:sz w:val="20"/>
          <w:szCs w:val="20"/>
        </w:rPr>
        <w:t>ll</w:t>
      </w:r>
      <w:proofErr w:type="spellEnd"/>
      <w:r w:rsidRPr="008D7638">
        <w:rPr>
          <w:rFonts w:ascii="Times New Roman" w:hAnsi="Times New Roman" w:cs="Times New Roman"/>
          <w:sz w:val="20"/>
          <w:szCs w:val="20"/>
        </w:rPr>
        <w:t xml:space="preserve"> \cos\theta), the probability of cross</w:t>
      </w:r>
      <w:r w:rsidRPr="008D7638">
        <w:rPr>
          <w:rFonts w:ascii="Times New Roman" w:hAnsi="Times New Roman" w:cs="Times New Roman"/>
          <w:sz w:val="20"/>
          <w:szCs w:val="20"/>
        </w:rPr>
        <w:noBreakHyphen/>
        <w:t>context retrieval error (a cross</w:t>
      </w:r>
      <w:r w:rsidRPr="008D7638">
        <w:rPr>
          <w:rFonts w:ascii="Times New Roman" w:hAnsi="Times New Roman" w:cs="Times New Roman"/>
          <w:sz w:val="20"/>
          <w:szCs w:val="20"/>
        </w:rPr>
        <w:noBreakHyphen/>
        <w:t>context vector exceeding the retrieval similarity threshold) decays exponentially in (d_{\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{eff}}) and ((\cos\theta-\tau_{\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{CMNF}})^2).</w:t>
      </w:r>
    </w:p>
    <w:p w14:paraId="3F2F2869"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Proof.</w:t>
      </w:r>
      <w:r w:rsidRPr="008D7638">
        <w:rPr>
          <w:rFonts w:ascii="Times New Roman" w:hAnsi="Times New Roman" w:cs="Times New Roman"/>
          <w:sz w:val="20"/>
          <w:szCs w:val="20"/>
        </w:rPr>
        <w:t xml:space="preserve"> By Lemma A.1 the expected inner product between unit vectors drawn from the two subspaces is at most (\cos\theta). Lemma A.3 gives the concentration bound around that mean: for any (t&gt;0), [ </w:t>
      </w:r>
      <w:proofErr w:type="gramStart"/>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Pr</w:t>
      </w:r>
      <w:proofErr w:type="spellEnd"/>
      <w:r w:rsidRPr="008D7638">
        <w:rPr>
          <w:rFonts w:ascii="Times New Roman" w:hAnsi="Times New Roman" w:cs="Times New Roman"/>
          <w:sz w:val="20"/>
          <w:szCs w:val="20"/>
        </w:rPr>
        <w:t>\big(</w:t>
      </w:r>
      <w:proofErr w:type="gram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langle</w:t>
      </w:r>
      <w:proofErr w:type="spellEnd"/>
      <w:r w:rsidRPr="008D7638">
        <w:rPr>
          <w:rFonts w:ascii="Times New Roman" w:hAnsi="Times New Roman" w:cs="Times New Roman"/>
          <w:sz w:val="20"/>
          <w:szCs w:val="20"/>
        </w:rPr>
        <w:t xml:space="preserve"> </w:t>
      </w:r>
      <w:proofErr w:type="spellStart"/>
      <w:proofErr w:type="gramStart"/>
      <w:r w:rsidRPr="008D7638">
        <w:rPr>
          <w:rFonts w:ascii="Times New Roman" w:hAnsi="Times New Roman" w:cs="Times New Roman"/>
          <w:sz w:val="20"/>
          <w:szCs w:val="20"/>
        </w:rPr>
        <w:t>u,v</w:t>
      </w:r>
      <w:proofErr w:type="spellEnd"/>
      <w:proofErr w:type="gram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rangle</w:t>
      </w:r>
      <w:proofErr w:type="spellEnd"/>
      <w:r w:rsidRPr="008D7638">
        <w:rPr>
          <w:rFonts w:ascii="Times New Roman" w:hAnsi="Times New Roman" w:cs="Times New Roman"/>
          <w:sz w:val="20"/>
          <w:szCs w:val="20"/>
        </w:rPr>
        <w:t xml:space="preserve"> \</w:t>
      </w:r>
      <w:proofErr w:type="spellStart"/>
      <w:r w:rsidRPr="008D7638">
        <w:rPr>
          <w:rFonts w:ascii="Times New Roman" w:hAnsi="Times New Roman" w:cs="Times New Roman"/>
          <w:sz w:val="20"/>
          <w:szCs w:val="20"/>
        </w:rPr>
        <w:t>ge</w:t>
      </w:r>
      <w:proofErr w:type="spellEnd"/>
      <w:r w:rsidRPr="008D7638">
        <w:rPr>
          <w:rFonts w:ascii="Times New Roman" w:hAnsi="Times New Roman" w:cs="Times New Roman"/>
          <w:sz w:val="20"/>
          <w:szCs w:val="20"/>
        </w:rPr>
        <w:t xml:space="preserve"> \cos\theta + t\big) \le 2\exp(-</w:t>
      </w:r>
      <w:proofErr w:type="spellStart"/>
      <w:proofErr w:type="gramStart"/>
      <w:r w:rsidRPr="008D7638">
        <w:rPr>
          <w:rFonts w:ascii="Times New Roman" w:hAnsi="Times New Roman" w:cs="Times New Roman"/>
          <w:sz w:val="20"/>
          <w:szCs w:val="20"/>
        </w:rPr>
        <w:t>c,d</w:t>
      </w:r>
      <w:proofErr w:type="spellEnd"/>
      <w:proofErr w:type="gramEnd"/>
      <w:r w:rsidRPr="008D7638">
        <w:rPr>
          <w:rFonts w:ascii="Times New Roman" w:hAnsi="Times New Roman" w:cs="Times New Roman"/>
          <w:sz w:val="20"/>
          <w:szCs w:val="20"/>
        </w:rPr>
        <w:t>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{eff}</w:t>
      </w:r>
      <w:proofErr w:type="gramStart"/>
      <w:r w:rsidRPr="008D7638">
        <w:rPr>
          <w:rFonts w:ascii="Times New Roman" w:hAnsi="Times New Roman" w:cs="Times New Roman"/>
          <w:sz w:val="20"/>
          <w:szCs w:val="20"/>
        </w:rPr>
        <w:t>},t</w:t>
      </w:r>
      <w:proofErr w:type="gramEnd"/>
      <w:r w:rsidRPr="008D7638">
        <w:rPr>
          <w:rFonts w:ascii="Times New Roman" w:hAnsi="Times New Roman" w:cs="Times New Roman"/>
          <w:sz w:val="20"/>
          <w:szCs w:val="20"/>
        </w:rPr>
        <w:t>^2)</w:t>
      </w:r>
      <w:proofErr w:type="gramStart"/>
      <w:r w:rsidRPr="008D7638">
        <w:rPr>
          <w:rFonts w:ascii="Times New Roman" w:hAnsi="Times New Roman" w:cs="Times New Roman"/>
          <w:sz w:val="20"/>
          <w:szCs w:val="20"/>
        </w:rPr>
        <w:t>. ]</w:t>
      </w:r>
      <w:proofErr w:type="gramEnd"/>
      <w:r w:rsidRPr="008D7638">
        <w:rPr>
          <w:rFonts w:ascii="Times New Roman" w:hAnsi="Times New Roman" w:cs="Times New Roman"/>
          <w:sz w:val="20"/>
          <w:szCs w:val="20"/>
        </w:rPr>
        <w:t xml:space="preserve"> Set (t = \tau_{\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CMNF}} - \cos\theta) (if (\tau_{\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CMNF}}&gt;\cos\theta) the bound is trivial). Rearranging yields the stated inequality. The final sentence follows by interpreting a retrieval error as an event where a cross</w:t>
      </w:r>
      <w:r w:rsidRPr="008D7638">
        <w:rPr>
          <w:rFonts w:ascii="Times New Roman" w:hAnsi="Times New Roman" w:cs="Times New Roman"/>
          <w:sz w:val="20"/>
          <w:szCs w:val="20"/>
        </w:rPr>
        <w:noBreakHyphen/>
        <w:t>context inner product exceeds the operational threshold; the exponential tail gives the claimed decay. (\square)</w:t>
      </w:r>
    </w:p>
    <w:p w14:paraId="0F2E12E6"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Remarks.</w:t>
      </w:r>
      <w:r w:rsidRPr="008D7638">
        <w:rPr>
          <w:rFonts w:ascii="Times New Roman" w:hAnsi="Times New Roman" w:cs="Times New Roman"/>
          <w:sz w:val="20"/>
          <w:szCs w:val="20"/>
        </w:rPr>
        <w:t xml:space="preserve"> The bound is explicit in the PCA/Gaussian model and shows the dependence on subspace angle and effective dimension. Deterministic variants follow from Lemma A.1: if all projected unit vectors satisfy (|\</w:t>
      </w:r>
      <w:proofErr w:type="spellStart"/>
      <w:r w:rsidRPr="008D7638">
        <w:rPr>
          <w:rFonts w:ascii="Times New Roman" w:hAnsi="Times New Roman" w:cs="Times New Roman"/>
          <w:sz w:val="20"/>
          <w:szCs w:val="20"/>
        </w:rPr>
        <w:t>langle</w:t>
      </w:r>
      <w:proofErr w:type="spellEnd"/>
      <w:r w:rsidRPr="008D7638">
        <w:rPr>
          <w:rFonts w:ascii="Times New Roman" w:hAnsi="Times New Roman" w:cs="Times New Roman"/>
          <w:sz w:val="20"/>
          <w:szCs w:val="20"/>
        </w:rPr>
        <w:t xml:space="preserve"> </w:t>
      </w:r>
      <w:proofErr w:type="spellStart"/>
      <w:proofErr w:type="gramStart"/>
      <w:r w:rsidRPr="008D7638">
        <w:rPr>
          <w:rFonts w:ascii="Times New Roman" w:hAnsi="Times New Roman" w:cs="Times New Roman"/>
          <w:sz w:val="20"/>
          <w:szCs w:val="20"/>
        </w:rPr>
        <w:t>u,v</w:t>
      </w:r>
      <w:proofErr w:type="spellEnd"/>
      <w:proofErr w:type="gram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rangle</w:t>
      </w:r>
      <w:proofErr w:type="spellEnd"/>
      <w:r w:rsidRPr="008D7638">
        <w:rPr>
          <w:rFonts w:ascii="Times New Roman" w:hAnsi="Times New Roman" w:cs="Times New Roman"/>
          <w:sz w:val="20"/>
          <w:szCs w:val="20"/>
        </w:rPr>
        <w:t>|\le\cos\theta), then choosing (\tau_{\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CMNF</w:t>
      </w:r>
      <w:proofErr w:type="gramStart"/>
      <w:r w:rsidRPr="008D7638">
        <w:rPr>
          <w:rFonts w:ascii="Times New Roman" w:hAnsi="Times New Roman" w:cs="Times New Roman"/>
          <w:sz w:val="20"/>
          <w:szCs w:val="20"/>
        </w:rPr>
        <w:t>}}&lt;</w:t>
      </w:r>
      <w:proofErr w:type="gramEnd"/>
      <w:r w:rsidRPr="008D7638">
        <w:rPr>
          <w:rFonts w:ascii="Times New Roman" w:hAnsi="Times New Roman" w:cs="Times New Roman"/>
          <w:sz w:val="20"/>
          <w:szCs w:val="20"/>
        </w:rPr>
        <w:t>\cos\theta) yields zero cross</w:t>
      </w:r>
      <w:r w:rsidRPr="008D7638">
        <w:rPr>
          <w:rFonts w:ascii="Times New Roman" w:hAnsi="Times New Roman" w:cs="Times New Roman"/>
          <w:sz w:val="20"/>
          <w:szCs w:val="20"/>
        </w:rPr>
        <w:noBreakHyphen/>
        <w:t>context retrieval error deterministically.</w:t>
      </w:r>
    </w:p>
    <w:p w14:paraId="7597B15B"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2E1495A7">
          <v:rect id="_x0000_i1317" style="width:0;height:1.5pt" o:hralign="center" o:hrstd="t" o:hr="t" fillcolor="#a0a0a0" stroked="f"/>
        </w:pict>
      </w:r>
    </w:p>
    <w:p w14:paraId="577BEBEA"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A.5. Theorem 2 (DBNF Drift Fork Necessity) — formal statement and proof</w:t>
      </w:r>
    </w:p>
    <w:p w14:paraId="48165396"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b/>
          <w:bCs/>
          <w:sz w:val="20"/>
          <w:szCs w:val="20"/>
        </w:rPr>
        <w:t>Theorem A.2 (DBNF necessity under bi</w:t>
      </w:r>
      <w:r w:rsidRPr="008D7638">
        <w:rPr>
          <w:rFonts w:ascii="Times New Roman" w:hAnsi="Times New Roman" w:cs="Times New Roman"/>
          <w:b/>
          <w:bCs/>
          <w:sz w:val="20"/>
          <w:szCs w:val="20"/>
        </w:rPr>
        <w:noBreakHyphen/>
        <w:t>Lipschitz downstream operators).</w:t>
      </w:r>
      <w:r w:rsidRPr="008D7638">
        <w:rPr>
          <w:rFonts w:ascii="Times New Roman" w:hAnsi="Times New Roman" w:cs="Times New Roman"/>
          <w:sz w:val="20"/>
          <w:szCs w:val="20"/>
        </w:rPr>
        <w:t xml:space="preserve"> </w:t>
      </w:r>
      <w:r w:rsidRPr="008D7638">
        <w:rPr>
          <w:rFonts w:ascii="Times New Roman" w:hAnsi="Times New Roman" w:cs="Times New Roman"/>
          <w:sz w:val="20"/>
          <w:szCs w:val="20"/>
        </w:rPr>
        <w:br/>
        <w:t>Under assumptions (A1)–(A5), let (e) be an entity with embeddings (x_1=\</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Emb}(</w:t>
      </w:r>
      <w:proofErr w:type="gramStart"/>
      <w:r w:rsidRPr="008D7638">
        <w:rPr>
          <w:rFonts w:ascii="Times New Roman" w:hAnsi="Times New Roman" w:cs="Times New Roman"/>
          <w:sz w:val="20"/>
          <w:szCs w:val="20"/>
        </w:rPr>
        <w:t>e,v</w:t>
      </w:r>
      <w:proofErr w:type="gramEnd"/>
      <w:r w:rsidRPr="008D7638">
        <w:rPr>
          <w:rFonts w:ascii="Times New Roman" w:hAnsi="Times New Roman" w:cs="Times New Roman"/>
          <w:sz w:val="20"/>
          <w:szCs w:val="20"/>
        </w:rPr>
        <w:t>_1)) and (x_2=\</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Emb}(</w:t>
      </w:r>
      <w:proofErr w:type="gramStart"/>
      <w:r w:rsidRPr="008D7638">
        <w:rPr>
          <w:rFonts w:ascii="Times New Roman" w:hAnsi="Times New Roman" w:cs="Times New Roman"/>
          <w:sz w:val="20"/>
          <w:szCs w:val="20"/>
        </w:rPr>
        <w:t>e,v</w:t>
      </w:r>
      <w:proofErr w:type="gramEnd"/>
      <w:r w:rsidRPr="008D7638">
        <w:rPr>
          <w:rFonts w:ascii="Times New Roman" w:hAnsi="Times New Roman" w:cs="Times New Roman"/>
          <w:sz w:val="20"/>
          <w:szCs w:val="20"/>
        </w:rPr>
        <w:t>_2)) in (\</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Suppose the downstream operator (O) is bi</w:t>
      </w:r>
      <w:r w:rsidRPr="008D7638">
        <w:rPr>
          <w:rFonts w:ascii="Times New Roman" w:hAnsi="Times New Roman" w:cs="Times New Roman"/>
          <w:sz w:val="20"/>
          <w:szCs w:val="20"/>
        </w:rPr>
        <w:noBreakHyphen/>
        <w:t>Lipschitz with constants (\ell&gt;0) and (L). If (|x_1-x_2|&gt;\tau_{\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DBNF}}), then [ |O(x_1)-O(x_</w:t>
      </w:r>
      <w:proofErr w:type="gramStart"/>
      <w:r w:rsidRPr="008D7638">
        <w:rPr>
          <w:rFonts w:ascii="Times New Roman" w:hAnsi="Times New Roman" w:cs="Times New Roman"/>
          <w:sz w:val="20"/>
          <w:szCs w:val="20"/>
        </w:rPr>
        <w:t>2)|</w:t>
      </w:r>
      <w:proofErr w:type="gramEnd"/>
      <w:r w:rsidRPr="008D7638">
        <w:rPr>
          <w:rFonts w:ascii="Times New Roman" w:hAnsi="Times New Roman" w:cs="Times New Roman"/>
          <w:sz w:val="20"/>
          <w:szCs w:val="20"/>
        </w:rPr>
        <w:t xml:space="preserve"> \</w:t>
      </w:r>
      <w:proofErr w:type="spellStart"/>
      <w:r w:rsidRPr="008D7638">
        <w:rPr>
          <w:rFonts w:ascii="Times New Roman" w:hAnsi="Times New Roman" w:cs="Times New Roman"/>
          <w:sz w:val="20"/>
          <w:szCs w:val="20"/>
        </w:rPr>
        <w:t>ge</w:t>
      </w:r>
      <w:proofErr w:type="spellEnd"/>
      <w:r w:rsidRPr="008D7638">
        <w:rPr>
          <w:rFonts w:ascii="Times New Roman" w:hAnsi="Times New Roman" w:cs="Times New Roman"/>
          <w:sz w:val="20"/>
          <w:szCs w:val="20"/>
        </w:rPr>
        <w:t xml:space="preserve"> \ell|x_1-x_2| &gt; \</w:t>
      </w:r>
      <w:proofErr w:type="gramStart"/>
      <w:r w:rsidRPr="008D7638">
        <w:rPr>
          <w:rFonts w:ascii="Times New Roman" w:hAnsi="Times New Roman" w:cs="Times New Roman"/>
          <w:sz w:val="20"/>
          <w:szCs w:val="20"/>
        </w:rPr>
        <w:t>ell,\</w:t>
      </w:r>
      <w:proofErr w:type="gramEnd"/>
      <w:r w:rsidRPr="008D7638">
        <w:rPr>
          <w:rFonts w:ascii="Times New Roman" w:hAnsi="Times New Roman" w:cs="Times New Roman"/>
          <w:sz w:val="20"/>
          <w:szCs w:val="20"/>
        </w:rPr>
        <w:t>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DBNF}}</w:t>
      </w:r>
      <w:proofErr w:type="gramStart"/>
      <w:r w:rsidRPr="008D7638">
        <w:rPr>
          <w:rFonts w:ascii="Times New Roman" w:hAnsi="Times New Roman" w:cs="Times New Roman"/>
          <w:sz w:val="20"/>
          <w:szCs w:val="20"/>
        </w:rPr>
        <w:t>. ]</w:t>
      </w:r>
      <w:proofErr w:type="gramEnd"/>
      <w:r w:rsidRPr="008D7638">
        <w:rPr>
          <w:rFonts w:ascii="Times New Roman" w:hAnsi="Times New Roman" w:cs="Times New Roman"/>
          <w:sz w:val="20"/>
          <w:szCs w:val="20"/>
        </w:rPr>
        <w:t xml:space="preserve"> Consequently, if the application tolerates output differences up to (\</w:t>
      </w:r>
      <w:proofErr w:type="spellStart"/>
      <w:r w:rsidRPr="008D7638">
        <w:rPr>
          <w:rFonts w:ascii="Times New Roman" w:hAnsi="Times New Roman" w:cs="Times New Roman"/>
          <w:sz w:val="20"/>
          <w:szCs w:val="20"/>
        </w:rPr>
        <w:t>varepsilon</w:t>
      </w:r>
      <w:proofErr w:type="spellEnd"/>
      <w:r w:rsidRPr="008D7638">
        <w:rPr>
          <w:rFonts w:ascii="Times New Roman" w:hAnsi="Times New Roman" w:cs="Times New Roman"/>
          <w:sz w:val="20"/>
          <w:szCs w:val="20"/>
        </w:rPr>
        <w:t>), any drift satisfying (|x_1-x_2|&gt;\</w:t>
      </w:r>
      <w:proofErr w:type="spellStart"/>
      <w:r w:rsidRPr="008D7638">
        <w:rPr>
          <w:rFonts w:ascii="Times New Roman" w:hAnsi="Times New Roman" w:cs="Times New Roman"/>
          <w:sz w:val="20"/>
          <w:szCs w:val="20"/>
        </w:rPr>
        <w:t>varepsilon</w:t>
      </w:r>
      <w:proofErr w:type="spellEnd"/>
      <w:r w:rsidRPr="008D7638">
        <w:rPr>
          <w:rFonts w:ascii="Times New Roman" w:hAnsi="Times New Roman" w:cs="Times New Roman"/>
          <w:sz w:val="20"/>
          <w:szCs w:val="20"/>
        </w:rPr>
        <w:t xml:space="preserve">/\ell) will produce outputs that exceed the tolerance; in such cases forking the entity semantics is necessary to avoid inconsistent downstream </w:t>
      </w:r>
      <w:proofErr w:type="spellStart"/>
      <w:r w:rsidRPr="008D7638">
        <w:rPr>
          <w:rFonts w:ascii="Times New Roman" w:hAnsi="Times New Roman" w:cs="Times New Roman"/>
          <w:sz w:val="20"/>
          <w:szCs w:val="20"/>
        </w:rPr>
        <w:t>behavior</w:t>
      </w:r>
      <w:proofErr w:type="spellEnd"/>
      <w:r w:rsidRPr="008D7638">
        <w:rPr>
          <w:rFonts w:ascii="Times New Roman" w:hAnsi="Times New Roman" w:cs="Times New Roman"/>
          <w:sz w:val="20"/>
          <w:szCs w:val="20"/>
        </w:rPr>
        <w:t>.</w:t>
      </w:r>
    </w:p>
    <w:p w14:paraId="1B918AB2"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Proof.</w:t>
      </w:r>
      <w:r w:rsidRPr="008D7638">
        <w:rPr>
          <w:rFonts w:ascii="Times New Roman" w:hAnsi="Times New Roman" w:cs="Times New Roman"/>
          <w:sz w:val="20"/>
          <w:szCs w:val="20"/>
        </w:rPr>
        <w:t xml:space="preserve"> Bi</w:t>
      </w:r>
      <w:r w:rsidRPr="008D7638">
        <w:rPr>
          <w:rFonts w:ascii="Times New Roman" w:hAnsi="Times New Roman" w:cs="Times New Roman"/>
          <w:sz w:val="20"/>
          <w:szCs w:val="20"/>
        </w:rPr>
        <w:noBreakHyphen/>
      </w:r>
      <w:proofErr w:type="spellStart"/>
      <w:r w:rsidRPr="008D7638">
        <w:rPr>
          <w:rFonts w:ascii="Times New Roman" w:hAnsi="Times New Roman" w:cs="Times New Roman"/>
          <w:sz w:val="20"/>
          <w:szCs w:val="20"/>
        </w:rPr>
        <w:t>Lipschitzity</w:t>
      </w:r>
      <w:proofErr w:type="spellEnd"/>
      <w:r w:rsidRPr="008D7638">
        <w:rPr>
          <w:rFonts w:ascii="Times New Roman" w:hAnsi="Times New Roman" w:cs="Times New Roman"/>
          <w:sz w:val="20"/>
          <w:szCs w:val="20"/>
        </w:rPr>
        <w:t xml:space="preserve"> gives the lower bound (|O(x_1)-O(x_</w:t>
      </w:r>
      <w:proofErr w:type="gramStart"/>
      <w:r w:rsidRPr="008D7638">
        <w:rPr>
          <w:rFonts w:ascii="Times New Roman" w:hAnsi="Times New Roman" w:cs="Times New Roman"/>
          <w:sz w:val="20"/>
          <w:szCs w:val="20"/>
        </w:rPr>
        <w:t>2)|</w:t>
      </w:r>
      <w:proofErr w:type="gramEnd"/>
      <w:r w:rsidRPr="008D7638">
        <w:rPr>
          <w:rFonts w:ascii="Times New Roman" w:hAnsi="Times New Roman" w:cs="Times New Roman"/>
          <w:sz w:val="20"/>
          <w:szCs w:val="20"/>
        </w:rPr>
        <w:t>\</w:t>
      </w:r>
      <w:proofErr w:type="spellStart"/>
      <w:r w:rsidRPr="008D7638">
        <w:rPr>
          <w:rFonts w:ascii="Times New Roman" w:hAnsi="Times New Roman" w:cs="Times New Roman"/>
          <w:sz w:val="20"/>
          <w:szCs w:val="20"/>
        </w:rPr>
        <w:t>ge</w:t>
      </w:r>
      <w:proofErr w:type="spellEnd"/>
      <w:r w:rsidRPr="008D7638">
        <w:rPr>
          <w:rFonts w:ascii="Times New Roman" w:hAnsi="Times New Roman" w:cs="Times New Roman"/>
          <w:sz w:val="20"/>
          <w:szCs w:val="20"/>
        </w:rPr>
        <w:t xml:space="preserve"> \ell|x_1-x_2|). The rest is algebraic: if (|x_1-x_2|&gt;\tau_{\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DBNF}}) then (|O(x_1)-O(x_</w:t>
      </w:r>
      <w:proofErr w:type="gramStart"/>
      <w:r w:rsidRPr="008D7638">
        <w:rPr>
          <w:rFonts w:ascii="Times New Roman" w:hAnsi="Times New Roman" w:cs="Times New Roman"/>
          <w:sz w:val="20"/>
          <w:szCs w:val="20"/>
        </w:rPr>
        <w:t>2)|</w:t>
      </w:r>
      <w:proofErr w:type="gramEnd"/>
      <w:r w:rsidRPr="008D7638">
        <w:rPr>
          <w:rFonts w:ascii="Times New Roman" w:hAnsi="Times New Roman" w:cs="Times New Roman"/>
          <w:sz w:val="20"/>
          <w:szCs w:val="20"/>
        </w:rPr>
        <w:t>&gt;\ell\tau_{\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DBNF}}). If the application threshold is (\</w:t>
      </w:r>
      <w:proofErr w:type="spellStart"/>
      <w:r w:rsidRPr="008D7638">
        <w:rPr>
          <w:rFonts w:ascii="Times New Roman" w:hAnsi="Times New Roman" w:cs="Times New Roman"/>
          <w:sz w:val="20"/>
          <w:szCs w:val="20"/>
        </w:rPr>
        <w:t>varepsilon</w:t>
      </w:r>
      <w:proofErr w:type="spellEnd"/>
      <w:r w:rsidRPr="008D7638">
        <w:rPr>
          <w:rFonts w:ascii="Times New Roman" w:hAnsi="Times New Roman" w:cs="Times New Roman"/>
          <w:sz w:val="20"/>
          <w:szCs w:val="20"/>
        </w:rPr>
        <w:t>), then (\ell\tau_{\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DBNF}}&gt;\</w:t>
      </w:r>
      <w:proofErr w:type="spellStart"/>
      <w:r w:rsidRPr="008D7638">
        <w:rPr>
          <w:rFonts w:ascii="Times New Roman" w:hAnsi="Times New Roman" w:cs="Times New Roman"/>
          <w:sz w:val="20"/>
          <w:szCs w:val="20"/>
        </w:rPr>
        <w:t>varepsilon</w:t>
      </w:r>
      <w:proofErr w:type="spellEnd"/>
      <w:r w:rsidRPr="008D7638">
        <w:rPr>
          <w:rFonts w:ascii="Times New Roman" w:hAnsi="Times New Roman" w:cs="Times New Roman"/>
          <w:sz w:val="20"/>
          <w:szCs w:val="20"/>
        </w:rPr>
        <w:t>) implies outputs differ by more than (\</w:t>
      </w:r>
      <w:proofErr w:type="spellStart"/>
      <w:r w:rsidRPr="008D7638">
        <w:rPr>
          <w:rFonts w:ascii="Times New Roman" w:hAnsi="Times New Roman" w:cs="Times New Roman"/>
          <w:sz w:val="20"/>
          <w:szCs w:val="20"/>
        </w:rPr>
        <w:t>varepsilon</w:t>
      </w:r>
      <w:proofErr w:type="spellEnd"/>
      <w:r w:rsidRPr="008D7638">
        <w:rPr>
          <w:rFonts w:ascii="Times New Roman" w:hAnsi="Times New Roman" w:cs="Times New Roman"/>
          <w:sz w:val="20"/>
          <w:szCs w:val="20"/>
        </w:rPr>
        <w:t>). Forking isolates the two semantics so downstream consumers can be mapped to the appropriate version. (\square)</w:t>
      </w:r>
    </w:p>
    <w:p w14:paraId="3982830A"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Remarks.</w:t>
      </w:r>
      <w:r w:rsidRPr="008D7638">
        <w:rPr>
          <w:rFonts w:ascii="Times New Roman" w:hAnsi="Times New Roman" w:cs="Times New Roman"/>
          <w:sz w:val="20"/>
          <w:szCs w:val="20"/>
        </w:rPr>
        <w:t xml:space="preserve"> The lower bound requires the sensitivity (lower Lipschitz) constant (\ell&gt;0). If (O) is only Lipschitz above (no lower bound), one cannot guarantee that embedding drift produces a proportional output change; in practice many downstream components (linear classifiers, distance</w:t>
      </w:r>
      <w:r w:rsidRPr="008D7638">
        <w:rPr>
          <w:rFonts w:ascii="Times New Roman" w:hAnsi="Times New Roman" w:cs="Times New Roman"/>
          <w:sz w:val="20"/>
          <w:szCs w:val="20"/>
        </w:rPr>
        <w:noBreakHyphen/>
        <w:t>based retrieval) satisfy a nontrivial lower sensitivity on the finite set of interest, justifying the assumption in applied settings.</w:t>
      </w:r>
    </w:p>
    <w:p w14:paraId="5EE9EF32"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66BDF6B7">
          <v:rect id="_x0000_i1318" style="width:0;height:1.5pt" o:hralign="center" o:hrstd="t" o:hr="t" fillcolor="#a0a0a0" stroked="f"/>
        </w:pict>
      </w:r>
    </w:p>
    <w:p w14:paraId="4F8A45D4"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A.6. Theorem 3 (SRS completeness and governance convergence) — formal statement and proof</w:t>
      </w:r>
    </w:p>
    <w:p w14:paraId="06A5A8BE"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t>We prove two claims: (</w:t>
      </w:r>
      <w:proofErr w:type="spellStart"/>
      <w:r w:rsidRPr="008D7638">
        <w:rPr>
          <w:rFonts w:ascii="Times New Roman" w:hAnsi="Times New Roman" w:cs="Times New Roman"/>
          <w:sz w:val="20"/>
          <w:szCs w:val="20"/>
        </w:rPr>
        <w:t>i</w:t>
      </w:r>
      <w:proofErr w:type="spellEnd"/>
      <w:r w:rsidRPr="008D7638">
        <w:rPr>
          <w:rFonts w:ascii="Times New Roman" w:hAnsi="Times New Roman" w:cs="Times New Roman"/>
          <w:sz w:val="20"/>
          <w:szCs w:val="20"/>
        </w:rPr>
        <w:t>) completeness of the SRS metric space in the finite context setting, and (ii) convergence of the governance pipeline under a Lyapunov descent argument.</w:t>
      </w:r>
    </w:p>
    <w:p w14:paraId="1C472285"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b/>
          <w:bCs/>
          <w:sz w:val="20"/>
          <w:szCs w:val="20"/>
        </w:rPr>
        <w:t>Theorem A.3 (SRS completeness, finite contexts).</w:t>
      </w:r>
      <w:r w:rsidRPr="008D7638">
        <w:rPr>
          <w:rFonts w:ascii="Times New Roman" w:hAnsi="Times New Roman" w:cs="Times New Roman"/>
          <w:sz w:val="20"/>
          <w:szCs w:val="20"/>
        </w:rPr>
        <w:t xml:space="preserve"> </w:t>
      </w:r>
      <w:r w:rsidRPr="008D7638">
        <w:rPr>
          <w:rFonts w:ascii="Times New Roman" w:hAnsi="Times New Roman" w:cs="Times New Roman"/>
          <w:sz w:val="20"/>
          <w:szCs w:val="20"/>
        </w:rPr>
        <w:br/>
        <w:t>Under (A1)–(A3), consider the set (\</w:t>
      </w:r>
      <w:proofErr w:type="spellStart"/>
      <w:r w:rsidRPr="008D7638">
        <w:rPr>
          <w:rFonts w:ascii="Times New Roman" w:hAnsi="Times New Roman" w:cs="Times New Roman"/>
          <w:sz w:val="20"/>
          <w:szCs w:val="20"/>
        </w:rPr>
        <w:t>mathcal</w:t>
      </w:r>
      <w:proofErr w:type="spellEnd"/>
      <w:r w:rsidRPr="008D7638">
        <w:rPr>
          <w:rFonts w:ascii="Times New Roman" w:hAnsi="Times New Roman" w:cs="Times New Roman"/>
          <w:sz w:val="20"/>
          <w:szCs w:val="20"/>
        </w:rPr>
        <w:t xml:space="preserve">{X}) of all </w:t>
      </w:r>
      <w:proofErr w:type="gramStart"/>
      <w:r w:rsidRPr="008D7638">
        <w:rPr>
          <w:rFonts w:ascii="Times New Roman" w:hAnsi="Times New Roman" w:cs="Times New Roman"/>
          <w:sz w:val="20"/>
          <w:szCs w:val="20"/>
        </w:rPr>
        <w:t>context</w:t>
      </w:r>
      <w:proofErr w:type="gramEnd"/>
      <w:r w:rsidRPr="008D7638">
        <w:rPr>
          <w:rFonts w:ascii="Times New Roman" w:hAnsi="Times New Roman" w:cs="Times New Roman"/>
          <w:sz w:val="20"/>
          <w:szCs w:val="20"/>
        </w:rPr>
        <w:noBreakHyphen/>
        <w:t>projected embeddings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}x: x\in\</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w:t>
      </w:r>
      <w:proofErr w:type="spellStart"/>
      <w:proofErr w:type="gramStart"/>
      <w:r w:rsidRPr="008D7638">
        <w:rPr>
          <w:rFonts w:ascii="Times New Roman" w:hAnsi="Times New Roman" w:cs="Times New Roman"/>
          <w:sz w:val="20"/>
          <w:szCs w:val="20"/>
        </w:rPr>
        <w:t>d,;</w:t>
      </w:r>
      <w:proofErr w:type="gramEnd"/>
      <w:r w:rsidRPr="008D7638">
        <w:rPr>
          <w:rFonts w:ascii="Times New Roman" w:hAnsi="Times New Roman" w:cs="Times New Roman"/>
          <w:sz w:val="20"/>
          <w:szCs w:val="20"/>
        </w:rPr>
        <w:t>c</w:t>
      </w:r>
      <w:proofErr w:type="spellEnd"/>
      <w:r w:rsidRPr="008D7638">
        <w:rPr>
          <w:rFonts w:ascii="Times New Roman" w:hAnsi="Times New Roman" w:cs="Times New Roman"/>
          <w:sz w:val="20"/>
          <w:szCs w:val="20"/>
        </w:rPr>
        <w:t>\in C}) equipped with the metric (d_{\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SRS}}) from Definition 1. If (C) is finite and embeddings are taken from a closed, bounded subset of (\</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(e.g., unit</w:t>
      </w:r>
      <w:r w:rsidRPr="008D7638">
        <w:rPr>
          <w:rFonts w:ascii="Times New Roman" w:hAnsi="Times New Roman" w:cs="Times New Roman"/>
          <w:sz w:val="20"/>
          <w:szCs w:val="20"/>
        </w:rPr>
        <w:noBreakHyphen/>
        <w:t>normalized vectors), then ((\</w:t>
      </w:r>
      <w:proofErr w:type="spellStart"/>
      <w:r w:rsidRPr="008D7638">
        <w:rPr>
          <w:rFonts w:ascii="Times New Roman" w:hAnsi="Times New Roman" w:cs="Times New Roman"/>
          <w:sz w:val="20"/>
          <w:szCs w:val="20"/>
        </w:rPr>
        <w:t>mathcal</w:t>
      </w:r>
      <w:proofErr w:type="spellEnd"/>
      <w:r w:rsidRPr="008D7638">
        <w:rPr>
          <w:rFonts w:ascii="Times New Roman" w:hAnsi="Times New Roman" w:cs="Times New Roman"/>
          <w:sz w:val="20"/>
          <w:szCs w:val="20"/>
        </w:rPr>
        <w:t>{X</w:t>
      </w:r>
      <w:proofErr w:type="gramStart"/>
      <w:r w:rsidRPr="008D7638">
        <w:rPr>
          <w:rFonts w:ascii="Times New Roman" w:hAnsi="Times New Roman" w:cs="Times New Roman"/>
          <w:sz w:val="20"/>
          <w:szCs w:val="20"/>
        </w:rPr>
        <w:t>},d</w:t>
      </w:r>
      <w:proofErr w:type="gramEnd"/>
      <w:r w:rsidRPr="008D7638">
        <w:rPr>
          <w:rFonts w:ascii="Times New Roman" w:hAnsi="Times New Roman" w:cs="Times New Roman"/>
          <w:sz w:val="20"/>
          <w:szCs w:val="20"/>
        </w:rPr>
        <w:t>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SRS}})) is a complete metric space.</w:t>
      </w:r>
    </w:p>
    <w:p w14:paraId="70040335"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Proof.</w:t>
      </w:r>
      <w:r w:rsidRPr="008D7638">
        <w:rPr>
          <w:rFonts w:ascii="Times New Roman" w:hAnsi="Times New Roman" w:cs="Times New Roman"/>
          <w:sz w:val="20"/>
          <w:szCs w:val="20"/>
        </w:rPr>
        <w:t xml:space="preserve"> (\</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with the Euclidean norm is complete. Let (S\subset\</w:t>
      </w:r>
      <w:proofErr w:type="spellStart"/>
      <w:r w:rsidRPr="008D7638">
        <w:rPr>
          <w:rFonts w:ascii="Times New Roman" w:hAnsi="Times New Roman" w:cs="Times New Roman"/>
          <w:sz w:val="20"/>
          <w:szCs w:val="20"/>
        </w:rPr>
        <w:t>mathbb</w:t>
      </w:r>
      <w:proofErr w:type="spellEnd"/>
      <w:r w:rsidRPr="008D7638">
        <w:rPr>
          <w:rFonts w:ascii="Times New Roman" w:hAnsi="Times New Roman" w:cs="Times New Roman"/>
          <w:sz w:val="20"/>
          <w:szCs w:val="20"/>
        </w:rPr>
        <w:t>{R}^d) be closed and bounded (hence complete). For each context (c), the linear map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is continuous; the image (P_{</w:t>
      </w:r>
      <w:proofErr w:type="spellStart"/>
      <w:r w:rsidRPr="008D7638">
        <w:rPr>
          <w:rFonts w:ascii="Times New Roman" w:hAnsi="Times New Roman" w:cs="Times New Roman"/>
          <w:sz w:val="20"/>
          <w:szCs w:val="20"/>
        </w:rPr>
        <w:t>U_</w:t>
      </w:r>
      <w:proofErr w:type="gramStart"/>
      <w:r w:rsidRPr="008D7638">
        <w:rPr>
          <w:rFonts w:ascii="Times New Roman" w:hAnsi="Times New Roman" w:cs="Times New Roman"/>
          <w:sz w:val="20"/>
          <w:szCs w:val="20"/>
        </w:rPr>
        <w:t>c</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S)) is closed in (U_{c}) and hence complete. The finite union (\</w:t>
      </w:r>
      <w:proofErr w:type="spellStart"/>
      <w:r w:rsidRPr="008D7638">
        <w:rPr>
          <w:rFonts w:ascii="Times New Roman" w:hAnsi="Times New Roman" w:cs="Times New Roman"/>
          <w:sz w:val="20"/>
          <w:szCs w:val="20"/>
        </w:rPr>
        <w:t>mathcal</w:t>
      </w:r>
      <w:proofErr w:type="spellEnd"/>
      <w:r w:rsidRPr="008D7638">
        <w:rPr>
          <w:rFonts w:ascii="Times New Roman" w:hAnsi="Times New Roman" w:cs="Times New Roman"/>
          <w:sz w:val="20"/>
          <w:szCs w:val="20"/>
        </w:rPr>
        <w:t>{X}=\</w:t>
      </w:r>
      <w:proofErr w:type="spellStart"/>
      <w:r w:rsidRPr="008D7638">
        <w:rPr>
          <w:rFonts w:ascii="Times New Roman" w:hAnsi="Times New Roman" w:cs="Times New Roman"/>
          <w:sz w:val="20"/>
          <w:szCs w:val="20"/>
        </w:rPr>
        <w:t>bigcup</w:t>
      </w:r>
      <w:proofErr w:type="spellEnd"/>
      <w:r w:rsidRPr="008D7638">
        <w:rPr>
          <w:rFonts w:ascii="Times New Roman" w:hAnsi="Times New Roman" w:cs="Times New Roman"/>
          <w:sz w:val="20"/>
          <w:szCs w:val="20"/>
        </w:rPr>
        <w:t>_{c\in C}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 xml:space="preserve">}(S)) of complete closed sets is complete when endowed with the metric that restricts to the Euclidean </w:t>
      </w:r>
      <w:r w:rsidRPr="008D7638">
        <w:rPr>
          <w:rFonts w:ascii="Times New Roman" w:hAnsi="Times New Roman" w:cs="Times New Roman"/>
          <w:sz w:val="20"/>
          <w:szCs w:val="20"/>
        </w:rPr>
        <w:lastRenderedPageBreak/>
        <w:t>metric on each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}(S)) and uses the same ambient norm for cross</w:t>
      </w:r>
      <w:r w:rsidRPr="008D7638">
        <w:rPr>
          <w:rFonts w:ascii="Times New Roman" w:hAnsi="Times New Roman" w:cs="Times New Roman"/>
          <w:sz w:val="20"/>
          <w:szCs w:val="20"/>
        </w:rPr>
        <w:noBreakHyphen/>
        <w:t>context distances (our (d_{\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{SRS}}) does this via projections). More concretely, any Cauchy sequence in (\</w:t>
      </w:r>
      <w:proofErr w:type="spellStart"/>
      <w:r w:rsidRPr="008D7638">
        <w:rPr>
          <w:rFonts w:ascii="Times New Roman" w:hAnsi="Times New Roman" w:cs="Times New Roman"/>
          <w:sz w:val="20"/>
          <w:szCs w:val="20"/>
        </w:rPr>
        <w:t>mathcal</w:t>
      </w:r>
      <w:proofErr w:type="spellEnd"/>
      <w:r w:rsidRPr="008D7638">
        <w:rPr>
          <w:rFonts w:ascii="Times New Roman" w:hAnsi="Times New Roman" w:cs="Times New Roman"/>
          <w:sz w:val="20"/>
          <w:szCs w:val="20"/>
        </w:rPr>
        <w:t>{X}) must eventually lie in a single (P_{</w:t>
      </w:r>
      <w:proofErr w:type="spellStart"/>
      <w:r w:rsidRPr="008D7638">
        <w:rPr>
          <w:rFonts w:ascii="Times New Roman" w:hAnsi="Times New Roman" w:cs="Times New Roman"/>
          <w:sz w:val="20"/>
          <w:szCs w:val="20"/>
        </w:rPr>
        <w:t>U_c</w:t>
      </w:r>
      <w:proofErr w:type="spellEnd"/>
      <w:r w:rsidRPr="008D7638">
        <w:rPr>
          <w:rFonts w:ascii="Times New Roman" w:hAnsi="Times New Roman" w:cs="Times New Roman"/>
          <w:sz w:val="20"/>
          <w:szCs w:val="20"/>
        </w:rPr>
        <w:t>}(S)) (because distances between different contexts are bounded below by subspace separation in many practical settings; if not, one can refine the argument by considering cluster limits), and completeness of that closed set yields convergence. Thus (\</w:t>
      </w:r>
      <w:proofErr w:type="spellStart"/>
      <w:r w:rsidRPr="008D7638">
        <w:rPr>
          <w:rFonts w:ascii="Times New Roman" w:hAnsi="Times New Roman" w:cs="Times New Roman"/>
          <w:sz w:val="20"/>
          <w:szCs w:val="20"/>
        </w:rPr>
        <w:t>mathcal</w:t>
      </w:r>
      <w:proofErr w:type="spellEnd"/>
      <w:r w:rsidRPr="008D7638">
        <w:rPr>
          <w:rFonts w:ascii="Times New Roman" w:hAnsi="Times New Roman" w:cs="Times New Roman"/>
          <w:sz w:val="20"/>
          <w:szCs w:val="20"/>
        </w:rPr>
        <w:t>{X}) is complete. (\square)</w:t>
      </w:r>
    </w:p>
    <w:p w14:paraId="64FBFF9D"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Remark.</w:t>
      </w:r>
      <w:r w:rsidRPr="008D7638">
        <w:rPr>
          <w:rFonts w:ascii="Times New Roman" w:hAnsi="Times New Roman" w:cs="Times New Roman"/>
          <w:sz w:val="20"/>
          <w:szCs w:val="20"/>
        </w:rPr>
        <w:t xml:space="preserve"> The finite context assumption simplifies the argument. For infinite contexts one needs uniform control on projections and closure properties; these are discussed in Appendix B.</w:t>
      </w:r>
    </w:p>
    <w:p w14:paraId="328A1183"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20AEBC86">
          <v:rect id="_x0000_i1319" style="width:0;height:1.5pt" o:hralign="center" o:hrstd="t" o:hr="t" fillcolor="#a0a0a0" stroked="f"/>
        </w:pict>
      </w:r>
    </w:p>
    <w:p w14:paraId="75CEA282"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b/>
          <w:bCs/>
          <w:sz w:val="20"/>
          <w:szCs w:val="20"/>
        </w:rPr>
        <w:t>Proposition A.4 (Governance descent and convergence).</w:t>
      </w:r>
      <w:r w:rsidRPr="008D7638">
        <w:rPr>
          <w:rFonts w:ascii="Times New Roman" w:hAnsi="Times New Roman" w:cs="Times New Roman"/>
          <w:sz w:val="20"/>
          <w:szCs w:val="20"/>
        </w:rPr>
        <w:t xml:space="preserve"> </w:t>
      </w:r>
      <w:r w:rsidRPr="008D7638">
        <w:rPr>
          <w:rFonts w:ascii="Times New Roman" w:hAnsi="Times New Roman" w:cs="Times New Roman"/>
          <w:sz w:val="20"/>
          <w:szCs w:val="20"/>
        </w:rPr>
        <w:br/>
        <w:t>Let (</w:t>
      </w:r>
      <w:proofErr w:type="spellStart"/>
      <w:r w:rsidRPr="008D7638">
        <w:rPr>
          <w:rFonts w:ascii="Times New Roman" w:hAnsi="Times New Roman" w:cs="Times New Roman"/>
          <w:sz w:val="20"/>
          <w:szCs w:val="20"/>
        </w:rPr>
        <w:t>S_t</w:t>
      </w:r>
      <w:proofErr w:type="spellEnd"/>
      <w:r w:rsidRPr="008D7638">
        <w:rPr>
          <w:rFonts w:ascii="Times New Roman" w:hAnsi="Times New Roman" w:cs="Times New Roman"/>
          <w:sz w:val="20"/>
          <w:szCs w:val="20"/>
        </w:rPr>
        <w:t>) denote the canonical schema after (t) iterations of the governance pipeline. Define a redundancy (Lyapunov) functional (L(S)\</w:t>
      </w:r>
      <w:proofErr w:type="spellStart"/>
      <w:r w:rsidRPr="008D7638">
        <w:rPr>
          <w:rFonts w:ascii="Times New Roman" w:hAnsi="Times New Roman" w:cs="Times New Roman"/>
          <w:sz w:val="20"/>
          <w:szCs w:val="20"/>
        </w:rPr>
        <w:t>ge</w:t>
      </w:r>
      <w:proofErr w:type="spellEnd"/>
      <w:r w:rsidRPr="008D7638">
        <w:rPr>
          <w:rFonts w:ascii="Times New Roman" w:hAnsi="Times New Roman" w:cs="Times New Roman"/>
          <w:sz w:val="20"/>
          <w:szCs w:val="20"/>
        </w:rPr>
        <w:t xml:space="preserve"> 0) that measures semantic redundancy (for example, sum of pairwise distances below a merge threshold or a weighted count of alias clusters). Suppose:</w:t>
      </w:r>
    </w:p>
    <w:p w14:paraId="133D3FDA" w14:textId="77777777" w:rsidR="008D7638" w:rsidRPr="008D7638" w:rsidRDefault="008D7638" w:rsidP="008D7638">
      <w:pPr>
        <w:numPr>
          <w:ilvl w:val="0"/>
          <w:numId w:val="25"/>
        </w:numPr>
        <w:rPr>
          <w:rFonts w:ascii="Times New Roman" w:hAnsi="Times New Roman" w:cs="Times New Roman"/>
          <w:sz w:val="20"/>
          <w:szCs w:val="20"/>
        </w:rPr>
      </w:pPr>
      <w:r w:rsidRPr="008D7638">
        <w:rPr>
          <w:rFonts w:ascii="Times New Roman" w:hAnsi="Times New Roman" w:cs="Times New Roman"/>
          <w:sz w:val="20"/>
          <w:szCs w:val="20"/>
        </w:rPr>
        <w:t>Each continuous centroid update step of the pipeline does not increase (L) and is Lipschitz</w:t>
      </w:r>
      <w:r w:rsidRPr="008D7638">
        <w:rPr>
          <w:rFonts w:ascii="Times New Roman" w:hAnsi="Times New Roman" w:cs="Times New Roman"/>
          <w:sz w:val="20"/>
          <w:szCs w:val="20"/>
        </w:rPr>
        <w:noBreakHyphen/>
        <w:t>bounded (Assumption 4).</w:t>
      </w:r>
    </w:p>
    <w:p w14:paraId="2FC753F4" w14:textId="77777777" w:rsidR="008D7638" w:rsidRPr="008D7638" w:rsidRDefault="008D7638" w:rsidP="008D7638">
      <w:pPr>
        <w:numPr>
          <w:ilvl w:val="0"/>
          <w:numId w:val="25"/>
        </w:numPr>
        <w:rPr>
          <w:rFonts w:ascii="Times New Roman" w:hAnsi="Times New Roman" w:cs="Times New Roman"/>
          <w:sz w:val="20"/>
          <w:szCs w:val="20"/>
        </w:rPr>
      </w:pPr>
      <w:r w:rsidRPr="008D7638">
        <w:rPr>
          <w:rFonts w:ascii="Times New Roman" w:hAnsi="Times New Roman" w:cs="Times New Roman"/>
          <w:sz w:val="20"/>
          <w:szCs w:val="20"/>
        </w:rPr>
        <w:t>Each discrete decision (merge/fork) is implemented only when it strictly decreases (L) or leaves it unchanged.</w:t>
      </w:r>
    </w:p>
    <w:p w14:paraId="0CEC959B" w14:textId="77777777" w:rsidR="008D7638" w:rsidRPr="008D7638" w:rsidRDefault="008D7638" w:rsidP="008D7638">
      <w:pPr>
        <w:numPr>
          <w:ilvl w:val="0"/>
          <w:numId w:val="25"/>
        </w:numPr>
        <w:rPr>
          <w:rFonts w:ascii="Times New Roman" w:hAnsi="Times New Roman" w:cs="Times New Roman"/>
          <w:sz w:val="20"/>
          <w:szCs w:val="20"/>
        </w:rPr>
      </w:pPr>
      <w:r w:rsidRPr="008D7638">
        <w:rPr>
          <w:rFonts w:ascii="Times New Roman" w:hAnsi="Times New Roman" w:cs="Times New Roman"/>
          <w:sz w:val="20"/>
          <w:szCs w:val="20"/>
        </w:rPr>
        <w:t>(L) is bounded below by (0).</w:t>
      </w:r>
    </w:p>
    <w:p w14:paraId="6B34063D"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t>Then the sequence (L(</w:t>
      </w:r>
      <w:proofErr w:type="spellStart"/>
      <w:r w:rsidRPr="008D7638">
        <w:rPr>
          <w:rFonts w:ascii="Times New Roman" w:hAnsi="Times New Roman" w:cs="Times New Roman"/>
          <w:sz w:val="20"/>
          <w:szCs w:val="20"/>
        </w:rPr>
        <w:t>S_t</w:t>
      </w:r>
      <w:proofErr w:type="spellEnd"/>
      <w:r w:rsidRPr="008D7638">
        <w:rPr>
          <w:rFonts w:ascii="Times New Roman" w:hAnsi="Times New Roman" w:cs="Times New Roman"/>
          <w:sz w:val="20"/>
          <w:szCs w:val="20"/>
        </w:rPr>
        <w:t>)) is monotone nonincreasing and bounded below, hence convergent. Moreover, the sequence (</w:t>
      </w:r>
      <w:proofErr w:type="spellStart"/>
      <w:r w:rsidRPr="008D7638">
        <w:rPr>
          <w:rFonts w:ascii="Times New Roman" w:hAnsi="Times New Roman" w:cs="Times New Roman"/>
          <w:sz w:val="20"/>
          <w:szCs w:val="20"/>
        </w:rPr>
        <w:t>S_t</w:t>
      </w:r>
      <w:proofErr w:type="spellEnd"/>
      <w:r w:rsidRPr="008D7638">
        <w:rPr>
          <w:rFonts w:ascii="Times New Roman" w:hAnsi="Times New Roman" w:cs="Times New Roman"/>
          <w:sz w:val="20"/>
          <w:szCs w:val="20"/>
        </w:rPr>
        <w:t>) has limit points; any limit point (S^*) satisfies that no allowed pipeline action can strictly decrease (L) further (a local fixed point). If, in addition, the pipeline satisfies the contraction bounds of Appendix B, the limit is unique.</w:t>
      </w:r>
    </w:p>
    <w:p w14:paraId="45E0556F"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Proof.</w:t>
      </w:r>
      <w:r w:rsidRPr="008D7638">
        <w:rPr>
          <w:rFonts w:ascii="Times New Roman" w:hAnsi="Times New Roman" w:cs="Times New Roman"/>
          <w:sz w:val="20"/>
          <w:szCs w:val="20"/>
        </w:rPr>
        <w:t xml:space="preserve"> Monotone nonincreasing and bounded below sequences converge (monotone convergence). Since (L(</w:t>
      </w:r>
      <w:proofErr w:type="spellStart"/>
      <w:r w:rsidRPr="008D7638">
        <w:rPr>
          <w:rFonts w:ascii="Times New Roman" w:hAnsi="Times New Roman" w:cs="Times New Roman"/>
          <w:sz w:val="20"/>
          <w:szCs w:val="20"/>
        </w:rPr>
        <w:t>S_t</w:t>
      </w:r>
      <w:proofErr w:type="spellEnd"/>
      <w:r w:rsidRPr="008D7638">
        <w:rPr>
          <w:rFonts w:ascii="Times New Roman" w:hAnsi="Times New Roman" w:cs="Times New Roman"/>
          <w:sz w:val="20"/>
          <w:szCs w:val="20"/>
        </w:rPr>
        <w:t>)) converges and the state space is compact under the assumptions (bounded embeddings, finite contexts), the sequence (</w:t>
      </w:r>
      <w:proofErr w:type="spellStart"/>
      <w:r w:rsidRPr="008D7638">
        <w:rPr>
          <w:rFonts w:ascii="Times New Roman" w:hAnsi="Times New Roman" w:cs="Times New Roman"/>
          <w:sz w:val="20"/>
          <w:szCs w:val="20"/>
        </w:rPr>
        <w:t>S_t</w:t>
      </w:r>
      <w:proofErr w:type="spellEnd"/>
      <w:r w:rsidRPr="008D7638">
        <w:rPr>
          <w:rFonts w:ascii="Times New Roman" w:hAnsi="Times New Roman" w:cs="Times New Roman"/>
          <w:sz w:val="20"/>
          <w:szCs w:val="20"/>
        </w:rPr>
        <w:t>) has at least one limit point. By construction, any limit point cannot admit a pipeline action that strictly decreases (L) (otherwise (L) would continue to decrease), so it is a fixed point of the descent dynamics. Uniqueness follows if the pipeline is a contraction on the metric space (see Appendix B for sufficient Lipschitz bounds). (\square)</w:t>
      </w:r>
    </w:p>
    <w:p w14:paraId="4A3A6628"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i/>
          <w:iCs/>
          <w:sz w:val="20"/>
          <w:szCs w:val="20"/>
        </w:rPr>
        <w:t>Remarks.</w:t>
      </w:r>
      <w:r w:rsidRPr="008D7638">
        <w:rPr>
          <w:rFonts w:ascii="Times New Roman" w:hAnsi="Times New Roman" w:cs="Times New Roman"/>
          <w:sz w:val="20"/>
          <w:szCs w:val="20"/>
        </w:rPr>
        <w:t xml:space="preserve"> This argument replaces an unconditional Banach contraction claim with a standard Lyapunov descent argument: monotone decrease of a bounded below functional implies convergence of the functional and existence of fixed points for the dynamics. Uniqueness requires stronger contraction conditions which are provided as sufficient conditions in Appendix B.</w:t>
      </w:r>
    </w:p>
    <w:p w14:paraId="3D6DD669"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6A8325B0">
          <v:rect id="_x0000_i1320" style="width:0;height:1.5pt" o:hralign="center" o:hrstd="t" o:hr="t" fillcolor="#a0a0a0" stroked="f"/>
        </w:pict>
      </w:r>
    </w:p>
    <w:p w14:paraId="39C757BB"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A.7. Summary of dependencies and how the lemmas yield the main theorems</w:t>
      </w:r>
    </w:p>
    <w:p w14:paraId="2F7D75C1" w14:textId="77777777" w:rsidR="008D7638" w:rsidRPr="008D7638" w:rsidRDefault="008D7638" w:rsidP="008D7638">
      <w:pPr>
        <w:numPr>
          <w:ilvl w:val="0"/>
          <w:numId w:val="26"/>
        </w:numPr>
        <w:rPr>
          <w:rFonts w:ascii="Times New Roman" w:hAnsi="Times New Roman" w:cs="Times New Roman"/>
          <w:sz w:val="20"/>
          <w:szCs w:val="20"/>
        </w:rPr>
      </w:pPr>
      <w:r w:rsidRPr="008D7638">
        <w:rPr>
          <w:rFonts w:ascii="Times New Roman" w:hAnsi="Times New Roman" w:cs="Times New Roman"/>
          <w:b/>
          <w:bCs/>
          <w:sz w:val="20"/>
          <w:szCs w:val="20"/>
        </w:rPr>
        <w:t>Theorem 1 (main text)</w:t>
      </w:r>
      <w:r w:rsidRPr="008D7638">
        <w:rPr>
          <w:rFonts w:ascii="Times New Roman" w:hAnsi="Times New Roman" w:cs="Times New Roman"/>
          <w:sz w:val="20"/>
          <w:szCs w:val="20"/>
        </w:rPr>
        <w:t xml:space="preserve"> is instantiated by Theorem A.1: Lemma A.1 gives the deterministic inner product bound from subspace angle; Lemma A.3 supplies the probabilistic concentration in the Gaussian model. Together they yield an explicit (f(\tau_{\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CMNF}</w:t>
      </w:r>
      <w:proofErr w:type="gramStart"/>
      <w:r w:rsidRPr="008D7638">
        <w:rPr>
          <w:rFonts w:ascii="Times New Roman" w:hAnsi="Times New Roman" w:cs="Times New Roman"/>
          <w:sz w:val="20"/>
          <w:szCs w:val="20"/>
        </w:rPr>
        <w:t>};d</w:t>
      </w:r>
      <w:proofErr w:type="gramEnd"/>
      <w:r w:rsidRPr="008D7638">
        <w:rPr>
          <w:rFonts w:ascii="Times New Roman" w:hAnsi="Times New Roman" w:cs="Times New Roman"/>
          <w:sz w:val="20"/>
          <w:szCs w:val="20"/>
        </w:rPr>
        <w:t>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{eff}})) with exponential decay.</w:t>
      </w:r>
    </w:p>
    <w:p w14:paraId="7B1B3843" w14:textId="77777777" w:rsidR="008D7638" w:rsidRPr="008D7638" w:rsidRDefault="008D7638" w:rsidP="008D7638">
      <w:pPr>
        <w:numPr>
          <w:ilvl w:val="0"/>
          <w:numId w:val="26"/>
        </w:numPr>
        <w:rPr>
          <w:rFonts w:ascii="Times New Roman" w:hAnsi="Times New Roman" w:cs="Times New Roman"/>
          <w:sz w:val="20"/>
          <w:szCs w:val="20"/>
        </w:rPr>
      </w:pPr>
      <w:r w:rsidRPr="008D7638">
        <w:rPr>
          <w:rFonts w:ascii="Times New Roman" w:hAnsi="Times New Roman" w:cs="Times New Roman"/>
          <w:b/>
          <w:bCs/>
          <w:sz w:val="20"/>
          <w:szCs w:val="20"/>
        </w:rPr>
        <w:t>Theorem 2 (main text)</w:t>
      </w:r>
      <w:r w:rsidRPr="008D7638">
        <w:rPr>
          <w:rFonts w:ascii="Times New Roman" w:hAnsi="Times New Roman" w:cs="Times New Roman"/>
          <w:sz w:val="20"/>
          <w:szCs w:val="20"/>
        </w:rPr>
        <w:t xml:space="preserve"> is instantiated by Theorem A.2: the lower bound on downstream divergence follows directly from the bi</w:t>
      </w:r>
      <w:r w:rsidRPr="008D7638">
        <w:rPr>
          <w:rFonts w:ascii="Times New Roman" w:hAnsi="Times New Roman" w:cs="Times New Roman"/>
          <w:sz w:val="20"/>
          <w:szCs w:val="20"/>
        </w:rPr>
        <w:noBreakHyphen/>
        <w:t>Lipschitz assumption (A5). This formalizes the intuition that large embedding drift implies large downstream change when the downstream operator is sensitive.</w:t>
      </w:r>
    </w:p>
    <w:p w14:paraId="5E4A69A9" w14:textId="77777777" w:rsidR="008D7638" w:rsidRPr="008D7638" w:rsidRDefault="008D7638" w:rsidP="008D7638">
      <w:pPr>
        <w:numPr>
          <w:ilvl w:val="0"/>
          <w:numId w:val="26"/>
        </w:numPr>
        <w:rPr>
          <w:rFonts w:ascii="Times New Roman" w:hAnsi="Times New Roman" w:cs="Times New Roman"/>
          <w:sz w:val="20"/>
          <w:szCs w:val="20"/>
        </w:rPr>
      </w:pPr>
      <w:r w:rsidRPr="008D7638">
        <w:rPr>
          <w:rFonts w:ascii="Times New Roman" w:hAnsi="Times New Roman" w:cs="Times New Roman"/>
          <w:b/>
          <w:bCs/>
          <w:sz w:val="20"/>
          <w:szCs w:val="20"/>
        </w:rPr>
        <w:t>Theorem 3 (main text)</w:t>
      </w:r>
      <w:r w:rsidRPr="008D7638">
        <w:rPr>
          <w:rFonts w:ascii="Times New Roman" w:hAnsi="Times New Roman" w:cs="Times New Roman"/>
          <w:sz w:val="20"/>
          <w:szCs w:val="20"/>
        </w:rPr>
        <w:t xml:space="preserve"> is instantiated by Theorem A.3 and Proposition A.4: completeness follows from closedness and continuity of projections in finite contexts; convergence of the governance </w:t>
      </w:r>
      <w:r w:rsidRPr="008D7638">
        <w:rPr>
          <w:rFonts w:ascii="Times New Roman" w:hAnsi="Times New Roman" w:cs="Times New Roman"/>
          <w:sz w:val="20"/>
          <w:szCs w:val="20"/>
        </w:rPr>
        <w:lastRenderedPageBreak/>
        <w:t>pipeline follows from monotone descent of a bounded redundancy functional (L), with uniqueness conditional on contraction bounds.</w:t>
      </w:r>
    </w:p>
    <w:p w14:paraId="67C45408"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4449B5F1">
          <v:rect id="_x0000_i1321" style="width:0;height:1.5pt" o:hralign="center" o:hrstd="t" o:hr="t" fillcolor="#a0a0a0" stroked="f"/>
        </w:pict>
      </w:r>
    </w:p>
    <w:p w14:paraId="71D8965D"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A.8. Notes on constants and practical calibration</w:t>
      </w:r>
    </w:p>
    <w:p w14:paraId="1D0D575D" w14:textId="77777777" w:rsidR="008D7638" w:rsidRPr="008D7638" w:rsidRDefault="008D7638" w:rsidP="008D7638">
      <w:pPr>
        <w:numPr>
          <w:ilvl w:val="0"/>
          <w:numId w:val="27"/>
        </w:numPr>
        <w:rPr>
          <w:rFonts w:ascii="Times New Roman" w:hAnsi="Times New Roman" w:cs="Times New Roman"/>
          <w:sz w:val="20"/>
          <w:szCs w:val="20"/>
        </w:rPr>
      </w:pPr>
      <w:r w:rsidRPr="008D7638">
        <w:rPr>
          <w:rFonts w:ascii="Times New Roman" w:hAnsi="Times New Roman" w:cs="Times New Roman"/>
          <w:sz w:val="20"/>
          <w:szCs w:val="20"/>
        </w:rPr>
        <w:t>The constant (c) in the concentration bound of Lemma A.3 depends on the Gaussian concentration constants and the Lipschitz constant of the inner product functional on the product space; in practice one estimates effective dimension (d_{\</w:t>
      </w:r>
      <w:proofErr w:type="spell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{eff}}) and uses empirical calibration (as in §VII) to set (\tau_{\</w:t>
      </w:r>
      <w:proofErr w:type="spellStart"/>
      <w:proofErr w:type="gramStart"/>
      <w:r w:rsidRPr="008D7638">
        <w:rPr>
          <w:rFonts w:ascii="Times New Roman" w:hAnsi="Times New Roman" w:cs="Times New Roman"/>
          <w:sz w:val="20"/>
          <w:szCs w:val="20"/>
        </w:rPr>
        <w:t>mathrm</w:t>
      </w:r>
      <w:proofErr w:type="spellEnd"/>
      <w:r w:rsidRPr="008D7638">
        <w:rPr>
          <w:rFonts w:ascii="Times New Roman" w:hAnsi="Times New Roman" w:cs="Times New Roman"/>
          <w:sz w:val="20"/>
          <w:szCs w:val="20"/>
        </w:rPr>
        <w:t>{</w:t>
      </w:r>
      <w:proofErr w:type="gramEnd"/>
      <w:r w:rsidRPr="008D7638">
        <w:rPr>
          <w:rFonts w:ascii="Times New Roman" w:hAnsi="Times New Roman" w:cs="Times New Roman"/>
          <w:sz w:val="20"/>
          <w:szCs w:val="20"/>
        </w:rPr>
        <w:t>CMNF}}).</w:t>
      </w:r>
    </w:p>
    <w:p w14:paraId="23DD3BB7" w14:textId="77777777" w:rsidR="008D7638" w:rsidRPr="008D7638" w:rsidRDefault="008D7638" w:rsidP="008D7638">
      <w:pPr>
        <w:numPr>
          <w:ilvl w:val="0"/>
          <w:numId w:val="27"/>
        </w:numPr>
        <w:rPr>
          <w:rFonts w:ascii="Times New Roman" w:hAnsi="Times New Roman" w:cs="Times New Roman"/>
          <w:sz w:val="20"/>
          <w:szCs w:val="20"/>
        </w:rPr>
      </w:pPr>
      <w:r w:rsidRPr="008D7638">
        <w:rPr>
          <w:rFonts w:ascii="Times New Roman" w:hAnsi="Times New Roman" w:cs="Times New Roman"/>
          <w:sz w:val="20"/>
          <w:szCs w:val="20"/>
        </w:rPr>
        <w:t>The bi</w:t>
      </w:r>
      <w:r w:rsidRPr="008D7638">
        <w:rPr>
          <w:rFonts w:ascii="Times New Roman" w:hAnsi="Times New Roman" w:cs="Times New Roman"/>
          <w:sz w:val="20"/>
          <w:szCs w:val="20"/>
        </w:rPr>
        <w:noBreakHyphen/>
        <w:t>Lipschitz lower constant (\ell) in Theorem A.2 is application dependent; for linear downstream maps (\ell) is the smallest singular value restricted to the subspace of interest and can be estimated empirically.</w:t>
      </w:r>
    </w:p>
    <w:p w14:paraId="7948A668" w14:textId="77777777" w:rsidR="008D7638" w:rsidRPr="008D7638" w:rsidRDefault="008D7638" w:rsidP="008D7638">
      <w:pPr>
        <w:numPr>
          <w:ilvl w:val="0"/>
          <w:numId w:val="27"/>
        </w:numPr>
        <w:rPr>
          <w:rFonts w:ascii="Times New Roman" w:hAnsi="Times New Roman" w:cs="Times New Roman"/>
          <w:sz w:val="20"/>
          <w:szCs w:val="20"/>
        </w:rPr>
      </w:pPr>
      <w:r w:rsidRPr="008D7638">
        <w:rPr>
          <w:rFonts w:ascii="Times New Roman" w:hAnsi="Times New Roman" w:cs="Times New Roman"/>
          <w:sz w:val="20"/>
          <w:szCs w:val="20"/>
        </w:rPr>
        <w:t>The redundancy functional (L(S)) used in Proposition A.4 is design</w:t>
      </w:r>
      <w:r w:rsidRPr="008D7638">
        <w:rPr>
          <w:rFonts w:ascii="Times New Roman" w:hAnsi="Times New Roman" w:cs="Times New Roman"/>
          <w:sz w:val="20"/>
          <w:szCs w:val="20"/>
        </w:rPr>
        <w:noBreakHyphen/>
        <w:t>dependent; a practical choice is a weighted sum of (</w:t>
      </w:r>
      <w:proofErr w:type="spellStart"/>
      <w:r w:rsidRPr="008D7638">
        <w:rPr>
          <w:rFonts w:ascii="Times New Roman" w:hAnsi="Times New Roman" w:cs="Times New Roman"/>
          <w:sz w:val="20"/>
          <w:szCs w:val="20"/>
        </w:rPr>
        <w:t>i</w:t>
      </w:r>
      <w:proofErr w:type="spellEnd"/>
      <w:r w:rsidRPr="008D7638">
        <w:rPr>
          <w:rFonts w:ascii="Times New Roman" w:hAnsi="Times New Roman" w:cs="Times New Roman"/>
          <w:sz w:val="20"/>
          <w:szCs w:val="20"/>
        </w:rPr>
        <w:t>) counts of alias clusters, (ii) average intra</w:t>
      </w:r>
      <w:r w:rsidRPr="008D7638">
        <w:rPr>
          <w:rFonts w:ascii="Times New Roman" w:hAnsi="Times New Roman" w:cs="Times New Roman"/>
          <w:sz w:val="20"/>
          <w:szCs w:val="20"/>
        </w:rPr>
        <w:noBreakHyphen/>
        <w:t>cluster distance, and (iii) penalties for context leakage. The Lipschitz bounds required for contraction in Appendix B are then expressed in terms of how much a single merge or centroid update can change (L).</w:t>
      </w:r>
    </w:p>
    <w:p w14:paraId="7324D632"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pict w14:anchorId="5AD5B2B2">
          <v:rect id="_x0000_i1322" style="width:0;height:1.5pt" o:hralign="center" o:hrstd="t" o:hr="t" fillcolor="#a0a0a0" stroked="f"/>
        </w:pict>
      </w:r>
    </w:p>
    <w:p w14:paraId="673A2416" w14:textId="77777777" w:rsidR="008D7638" w:rsidRPr="008D7638" w:rsidRDefault="008D7638" w:rsidP="008D7638">
      <w:pPr>
        <w:rPr>
          <w:rFonts w:ascii="Times New Roman" w:hAnsi="Times New Roman" w:cs="Times New Roman"/>
          <w:b/>
          <w:bCs/>
          <w:sz w:val="20"/>
          <w:szCs w:val="20"/>
        </w:rPr>
      </w:pPr>
      <w:r w:rsidRPr="008D7638">
        <w:rPr>
          <w:rFonts w:ascii="Times New Roman" w:hAnsi="Times New Roman" w:cs="Times New Roman"/>
          <w:b/>
          <w:bCs/>
          <w:sz w:val="20"/>
          <w:szCs w:val="20"/>
        </w:rPr>
        <w:t>A.9. Concluding remark for the appendix</w:t>
      </w:r>
    </w:p>
    <w:p w14:paraId="3C875DCC" w14:textId="77777777" w:rsidR="008D7638" w:rsidRPr="008D7638" w:rsidRDefault="008D7638" w:rsidP="008D7638">
      <w:pPr>
        <w:rPr>
          <w:rFonts w:ascii="Times New Roman" w:hAnsi="Times New Roman" w:cs="Times New Roman"/>
          <w:sz w:val="20"/>
          <w:szCs w:val="20"/>
        </w:rPr>
      </w:pPr>
      <w:r w:rsidRPr="008D7638">
        <w:rPr>
          <w:rFonts w:ascii="Times New Roman" w:hAnsi="Times New Roman" w:cs="Times New Roman"/>
          <w:sz w:val="20"/>
          <w:szCs w:val="20"/>
        </w:rPr>
        <w:t>The proofs above formalize the main theorems in a PCA/Gaussian and Lipschitz/bi</w:t>
      </w:r>
      <w:r w:rsidRPr="008D7638">
        <w:rPr>
          <w:rFonts w:ascii="Times New Roman" w:hAnsi="Times New Roman" w:cs="Times New Roman"/>
          <w:sz w:val="20"/>
          <w:szCs w:val="20"/>
        </w:rPr>
        <w:noBreakHyphen/>
        <w:t>Lipschitz setting. They make explicit the assumptions required for rigorous statements and provide concrete, checkable conditions (subspace angle, effective dimension, operator sensitivity, and Lyapunov descent) that practitioners can estimate empirically. Extensions to more general learned projections and non</w:t>
      </w:r>
      <w:r w:rsidRPr="008D7638">
        <w:rPr>
          <w:rFonts w:ascii="Times New Roman" w:hAnsi="Times New Roman" w:cs="Times New Roman"/>
          <w:sz w:val="20"/>
          <w:szCs w:val="20"/>
        </w:rPr>
        <w:noBreakHyphen/>
        <w:t>Gaussian embedding distributions require additional technical work (uniform concentration, operator perturbation bounds) and are left to future work; guidance and sufficient conditions for those extensions are sketched in Appendix B.</w:t>
      </w:r>
    </w:p>
    <w:p w14:paraId="5F0C18E8" w14:textId="77777777" w:rsidR="008D7638" w:rsidRPr="00384F1F" w:rsidRDefault="008D7638" w:rsidP="00384F1F">
      <w:pPr>
        <w:rPr>
          <w:rFonts w:ascii="Times New Roman" w:hAnsi="Times New Roman" w:cs="Times New Roman"/>
          <w:sz w:val="20"/>
          <w:szCs w:val="20"/>
        </w:rPr>
      </w:pPr>
    </w:p>
    <w:sectPr w:rsidR="008D7638" w:rsidRPr="00384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B28"/>
    <w:multiLevelType w:val="multilevel"/>
    <w:tmpl w:val="A63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23C4A"/>
    <w:multiLevelType w:val="multilevel"/>
    <w:tmpl w:val="63C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7B4C"/>
    <w:multiLevelType w:val="multilevel"/>
    <w:tmpl w:val="AF2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625D3"/>
    <w:multiLevelType w:val="multilevel"/>
    <w:tmpl w:val="ADC0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30D9A"/>
    <w:multiLevelType w:val="multilevel"/>
    <w:tmpl w:val="E632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47D33"/>
    <w:multiLevelType w:val="multilevel"/>
    <w:tmpl w:val="C1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E1C78"/>
    <w:multiLevelType w:val="multilevel"/>
    <w:tmpl w:val="CA0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E2766"/>
    <w:multiLevelType w:val="multilevel"/>
    <w:tmpl w:val="5F3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15171"/>
    <w:multiLevelType w:val="multilevel"/>
    <w:tmpl w:val="325C4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416F3"/>
    <w:multiLevelType w:val="multilevel"/>
    <w:tmpl w:val="4AC0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04BA4"/>
    <w:multiLevelType w:val="multilevel"/>
    <w:tmpl w:val="3414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91466D"/>
    <w:multiLevelType w:val="multilevel"/>
    <w:tmpl w:val="181E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45443"/>
    <w:multiLevelType w:val="multilevel"/>
    <w:tmpl w:val="A24E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611B5"/>
    <w:multiLevelType w:val="multilevel"/>
    <w:tmpl w:val="ED5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0682C"/>
    <w:multiLevelType w:val="multilevel"/>
    <w:tmpl w:val="3CC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C1F70"/>
    <w:multiLevelType w:val="multilevel"/>
    <w:tmpl w:val="757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B1E43"/>
    <w:multiLevelType w:val="multilevel"/>
    <w:tmpl w:val="661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52D80"/>
    <w:multiLevelType w:val="multilevel"/>
    <w:tmpl w:val="64B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74B3F"/>
    <w:multiLevelType w:val="multilevel"/>
    <w:tmpl w:val="CE4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D1527"/>
    <w:multiLevelType w:val="multilevel"/>
    <w:tmpl w:val="528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E2628"/>
    <w:multiLevelType w:val="multilevel"/>
    <w:tmpl w:val="F7D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F53EE"/>
    <w:multiLevelType w:val="multilevel"/>
    <w:tmpl w:val="546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81E9F"/>
    <w:multiLevelType w:val="multilevel"/>
    <w:tmpl w:val="FCD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F6E47"/>
    <w:multiLevelType w:val="multilevel"/>
    <w:tmpl w:val="F1A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451FC2"/>
    <w:multiLevelType w:val="multilevel"/>
    <w:tmpl w:val="0B92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374BCE"/>
    <w:multiLevelType w:val="multilevel"/>
    <w:tmpl w:val="C8E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96105"/>
    <w:multiLevelType w:val="multilevel"/>
    <w:tmpl w:val="7CA4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419913">
    <w:abstractNumId w:val="13"/>
  </w:num>
  <w:num w:numId="2" w16cid:durableId="1048527736">
    <w:abstractNumId w:val="4"/>
  </w:num>
  <w:num w:numId="3" w16cid:durableId="324089953">
    <w:abstractNumId w:val="0"/>
  </w:num>
  <w:num w:numId="4" w16cid:durableId="353729152">
    <w:abstractNumId w:val="5"/>
  </w:num>
  <w:num w:numId="5" w16cid:durableId="1688944527">
    <w:abstractNumId w:val="19"/>
  </w:num>
  <w:num w:numId="6" w16cid:durableId="1331517791">
    <w:abstractNumId w:val="2"/>
  </w:num>
  <w:num w:numId="7" w16cid:durableId="1613200970">
    <w:abstractNumId w:val="18"/>
  </w:num>
  <w:num w:numId="8" w16cid:durableId="1109012261">
    <w:abstractNumId w:val="11"/>
  </w:num>
  <w:num w:numId="9" w16cid:durableId="791285978">
    <w:abstractNumId w:val="22"/>
  </w:num>
  <w:num w:numId="10" w16cid:durableId="4749164">
    <w:abstractNumId w:val="12"/>
  </w:num>
  <w:num w:numId="11" w16cid:durableId="2021393748">
    <w:abstractNumId w:val="25"/>
  </w:num>
  <w:num w:numId="12" w16cid:durableId="2070834361">
    <w:abstractNumId w:val="6"/>
  </w:num>
  <w:num w:numId="13" w16cid:durableId="206794366">
    <w:abstractNumId w:val="15"/>
  </w:num>
  <w:num w:numId="14" w16cid:durableId="355079427">
    <w:abstractNumId w:val="1"/>
  </w:num>
  <w:num w:numId="15" w16cid:durableId="1147092940">
    <w:abstractNumId w:val="16"/>
  </w:num>
  <w:num w:numId="16" w16cid:durableId="1560553739">
    <w:abstractNumId w:val="7"/>
  </w:num>
  <w:num w:numId="17" w16cid:durableId="646200705">
    <w:abstractNumId w:val="17"/>
  </w:num>
  <w:num w:numId="18" w16cid:durableId="94179368">
    <w:abstractNumId w:val="10"/>
  </w:num>
  <w:num w:numId="19" w16cid:durableId="1040130819">
    <w:abstractNumId w:val="20"/>
  </w:num>
  <w:num w:numId="20" w16cid:durableId="128592435">
    <w:abstractNumId w:val="23"/>
  </w:num>
  <w:num w:numId="21" w16cid:durableId="1365835818">
    <w:abstractNumId w:val="8"/>
  </w:num>
  <w:num w:numId="22" w16cid:durableId="1502432596">
    <w:abstractNumId w:val="26"/>
  </w:num>
  <w:num w:numId="23" w16cid:durableId="114033318">
    <w:abstractNumId w:val="14"/>
  </w:num>
  <w:num w:numId="24" w16cid:durableId="434329735">
    <w:abstractNumId w:val="3"/>
  </w:num>
  <w:num w:numId="25" w16cid:durableId="461191954">
    <w:abstractNumId w:val="24"/>
  </w:num>
  <w:num w:numId="26" w16cid:durableId="1010841080">
    <w:abstractNumId w:val="21"/>
  </w:num>
  <w:num w:numId="27" w16cid:durableId="941451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E5"/>
    <w:rsid w:val="00384F1F"/>
    <w:rsid w:val="008D7638"/>
    <w:rsid w:val="008E4724"/>
    <w:rsid w:val="009F2DDB"/>
    <w:rsid w:val="00B66852"/>
    <w:rsid w:val="00BD4EE5"/>
    <w:rsid w:val="00C41574"/>
    <w:rsid w:val="00CB302D"/>
    <w:rsid w:val="00CF3CEC"/>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44CC"/>
  <w15:chartTrackingRefBased/>
  <w15:docId w15:val="{96E50BF5-4E5A-4664-92BB-630AF101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EE5"/>
    <w:rPr>
      <w:rFonts w:eastAsiaTheme="majorEastAsia" w:cstheme="majorBidi"/>
      <w:color w:val="272727" w:themeColor="text1" w:themeTint="D8"/>
    </w:rPr>
  </w:style>
  <w:style w:type="paragraph" w:styleId="Title">
    <w:name w:val="Title"/>
    <w:basedOn w:val="Normal"/>
    <w:next w:val="Normal"/>
    <w:link w:val="TitleChar"/>
    <w:uiPriority w:val="10"/>
    <w:qFormat/>
    <w:rsid w:val="00BD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EE5"/>
    <w:pPr>
      <w:spacing w:before="160"/>
      <w:jc w:val="center"/>
    </w:pPr>
    <w:rPr>
      <w:i/>
      <w:iCs/>
      <w:color w:val="404040" w:themeColor="text1" w:themeTint="BF"/>
    </w:rPr>
  </w:style>
  <w:style w:type="character" w:customStyle="1" w:styleId="QuoteChar">
    <w:name w:val="Quote Char"/>
    <w:basedOn w:val="DefaultParagraphFont"/>
    <w:link w:val="Quote"/>
    <w:uiPriority w:val="29"/>
    <w:rsid w:val="00BD4EE5"/>
    <w:rPr>
      <w:i/>
      <w:iCs/>
      <w:color w:val="404040" w:themeColor="text1" w:themeTint="BF"/>
    </w:rPr>
  </w:style>
  <w:style w:type="paragraph" w:styleId="ListParagraph">
    <w:name w:val="List Paragraph"/>
    <w:basedOn w:val="Normal"/>
    <w:uiPriority w:val="34"/>
    <w:qFormat/>
    <w:rsid w:val="00BD4EE5"/>
    <w:pPr>
      <w:ind w:left="720"/>
      <w:contextualSpacing/>
    </w:pPr>
  </w:style>
  <w:style w:type="character" w:styleId="IntenseEmphasis">
    <w:name w:val="Intense Emphasis"/>
    <w:basedOn w:val="DefaultParagraphFont"/>
    <w:uiPriority w:val="21"/>
    <w:qFormat/>
    <w:rsid w:val="00BD4EE5"/>
    <w:rPr>
      <w:i/>
      <w:iCs/>
      <w:color w:val="0F4761" w:themeColor="accent1" w:themeShade="BF"/>
    </w:rPr>
  </w:style>
  <w:style w:type="paragraph" w:styleId="IntenseQuote">
    <w:name w:val="Intense Quote"/>
    <w:basedOn w:val="Normal"/>
    <w:next w:val="Normal"/>
    <w:link w:val="IntenseQuoteChar"/>
    <w:uiPriority w:val="30"/>
    <w:qFormat/>
    <w:rsid w:val="00BD4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EE5"/>
    <w:rPr>
      <w:i/>
      <w:iCs/>
      <w:color w:val="0F4761" w:themeColor="accent1" w:themeShade="BF"/>
    </w:rPr>
  </w:style>
  <w:style w:type="character" w:styleId="IntenseReference">
    <w:name w:val="Intense Reference"/>
    <w:basedOn w:val="DefaultParagraphFont"/>
    <w:uiPriority w:val="32"/>
    <w:qFormat/>
    <w:rsid w:val="00BD4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4195</Words>
  <Characters>25300</Characters>
  <Application>Microsoft Office Word</Application>
  <DocSecurity>0</DocSecurity>
  <Lines>506</Lines>
  <Paragraphs>128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3</cp:revision>
  <dcterms:created xsi:type="dcterms:W3CDTF">2026-02-04T22:26:00Z</dcterms:created>
  <dcterms:modified xsi:type="dcterms:W3CDTF">2026-02-04T22:31:00Z</dcterms:modified>
</cp:coreProperties>
</file>