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rPr>
          <w:sz w:val="28"/>
        </w:rPr>
      </w:pPr>
      <w:r>
        <w:rPr>
          <w:sz w:val="28"/>
        </w:rPr>
        <w:t>DRAFT - FIS ‘One Pager’ Research Notes</w:t>
      </w:r>
    </w:p>
    <w:p w:rsidR="00000000" w:rsidRDefault="00000000">
      <w:pPr>
        <w:rPr>
          <w:sz w:val="28"/>
        </w:rPr>
      </w:pPr>
    </w:p>
    <w:p w:rsidR="00000000" w:rsidRDefault="00000000">
      <w:pPr>
        <w:rPr>
          <w:sz w:val="28"/>
        </w:rPr>
      </w:pPr>
    </w:p>
    <w:p w:rsidR="00000000" w:rsidRDefault="00000000">
      <w:r>
        <w:rPr>
          <w:b/>
        </w:rPr>
        <w:t>The aim of the one pager</w:t>
      </w:r>
      <w:r>
        <w:br/>
      </w:r>
      <w:r>
        <w:br/>
        <w:t>The aim is to convey to the reader how well a stock fits our investment style and the analyst’s view of the balance of risks to market expectations.</w:t>
      </w:r>
    </w:p>
    <w:p w:rsidR="00000000" w:rsidRDefault="00000000"/>
    <w:p w:rsidR="00000000" w:rsidRDefault="00000000">
      <w:pPr>
        <w:rPr>
          <w:b/>
        </w:rPr>
      </w:pPr>
      <w:r>
        <w:rPr>
          <w:b/>
        </w:rPr>
        <w:t>The users of the one pager</w:t>
      </w:r>
      <w:r>
        <w:rPr>
          <w:b/>
        </w:rPr>
        <w:br/>
      </w:r>
    </w:p>
    <w:p w:rsidR="00000000" w:rsidRDefault="00000000">
      <w:r>
        <w:t xml:space="preserve">The key users are the portfolio teams.  This means that the one </w:t>
      </w:r>
      <w:proofErr w:type="gramStart"/>
      <w:r>
        <w:t>pagers</w:t>
      </w:r>
      <w:proofErr w:type="gramEnd"/>
      <w:r>
        <w:t xml:space="preserve"> should normally be written on the presumption that the reader has a reasonable knowledge of the stock.</w:t>
      </w:r>
      <w:r>
        <w:br/>
      </w:r>
    </w:p>
    <w:p w:rsidR="00000000" w:rsidRDefault="00000000">
      <w:r>
        <w:t xml:space="preserve">The one </w:t>
      </w:r>
      <w:proofErr w:type="gramStart"/>
      <w:r>
        <w:t>pagers</w:t>
      </w:r>
      <w:proofErr w:type="gramEnd"/>
      <w:r>
        <w:t xml:space="preserve"> are seen by a wide audience, including others in FIS, consultants and clients.  Care should therefore be taken to avoid language that is too colourful, or which includes relatively obscure jargon.</w:t>
      </w:r>
    </w:p>
    <w:p w:rsidR="00000000" w:rsidRDefault="00000000"/>
    <w:p w:rsidR="00000000" w:rsidRDefault="00000000">
      <w:pPr>
        <w:rPr>
          <w:b/>
        </w:rPr>
      </w:pPr>
      <w:r>
        <w:rPr>
          <w:b/>
        </w:rPr>
        <w:t>When should a one pager be done?</w:t>
      </w:r>
    </w:p>
    <w:p w:rsidR="00000000" w:rsidRDefault="00000000"/>
    <w:p w:rsidR="00000000" w:rsidRDefault="00000000">
      <w:pPr>
        <w:numPr>
          <w:ilvl w:val="0"/>
          <w:numId w:val="14"/>
        </w:numPr>
      </w:pPr>
      <w:r>
        <w:t>All new holdings require a one pager as part of the due diligence process.  This needs to be completed before a firm order in the stock is placed.</w:t>
      </w:r>
      <w:r>
        <w:br/>
      </w:r>
    </w:p>
    <w:p w:rsidR="00000000" w:rsidRDefault="00000000">
      <w:pPr>
        <w:numPr>
          <w:ilvl w:val="0"/>
          <w:numId w:val="14"/>
        </w:numPr>
      </w:pPr>
      <w:r>
        <w:t>All large cap holdings in the portfolios require a one pager that has been updated within the last 12 months.</w:t>
      </w:r>
      <w:r>
        <w:br/>
      </w:r>
    </w:p>
    <w:p w:rsidR="00000000" w:rsidRDefault="00000000">
      <w:pPr>
        <w:numPr>
          <w:ilvl w:val="0"/>
          <w:numId w:val="14"/>
        </w:numPr>
      </w:pPr>
      <w:r>
        <w:t>Where the analyst wishes to change the stock rating, an updated one pager is required.  It should be made clear why the rating has changed.</w:t>
      </w:r>
      <w:r>
        <w:br/>
      </w:r>
    </w:p>
    <w:p w:rsidR="00000000" w:rsidRDefault="00000000">
      <w:pPr>
        <w:numPr>
          <w:ilvl w:val="0"/>
          <w:numId w:val="14"/>
        </w:numPr>
      </w:pPr>
      <w:r>
        <w:t>When there is significant change in the outlook for a stock that is likely to be relevant to the portfolio teams, an update should be made to the one pager.</w:t>
      </w:r>
    </w:p>
    <w:p w:rsidR="00000000" w:rsidRDefault="00000000"/>
    <w:p w:rsidR="00000000" w:rsidRDefault="00000000">
      <w:r>
        <w:rPr>
          <w:b/>
        </w:rPr>
        <w:t>Guidelines for completing the one pagers</w:t>
      </w:r>
      <w:r>
        <w:rPr>
          <w:b/>
        </w:rPr>
        <w:br/>
      </w:r>
      <w:r>
        <w:br/>
        <w:t xml:space="preserve">The following general points </w:t>
      </w:r>
      <w:proofErr w:type="gramStart"/>
      <w:r>
        <w:t>apply:-</w:t>
      </w:r>
      <w:proofErr w:type="gramEnd"/>
    </w:p>
    <w:p w:rsidR="00000000" w:rsidRDefault="00000000"/>
    <w:p w:rsidR="00000000" w:rsidRDefault="00000000">
      <w:pPr>
        <w:pStyle w:val="Memobody"/>
        <w:numPr>
          <w:ilvl w:val="0"/>
          <w:numId w:val="6"/>
        </w:numPr>
        <w:jc w:val="left"/>
      </w:pPr>
      <w:r>
        <w:t>Avoid too much detail</w:t>
      </w:r>
      <w:r>
        <w:br/>
      </w:r>
      <w:r>
        <w:br/>
        <w:t>There is not room on the one pager for substantial detail on the company’s operations, nor is that the intended purpose of the one pager.  If you feel that this is required (</w:t>
      </w:r>
      <w:proofErr w:type="gramStart"/>
      <w:r>
        <w:t>e.g.</w:t>
      </w:r>
      <w:proofErr w:type="gramEnd"/>
      <w:r>
        <w:t xml:space="preserve"> a company that is new to you or one that is likely to be difficult for others to understand), then it should be covered in a separate, more detailed, note.</w:t>
      </w:r>
      <w:r>
        <w:br/>
      </w:r>
    </w:p>
    <w:p w:rsidR="00000000" w:rsidRDefault="00000000">
      <w:pPr>
        <w:pStyle w:val="Memobody"/>
        <w:numPr>
          <w:ilvl w:val="0"/>
          <w:numId w:val="6"/>
        </w:numPr>
        <w:jc w:val="left"/>
      </w:pPr>
      <w:r>
        <w:t>Emphasis on integrating facts</w:t>
      </w:r>
      <w:r>
        <w:br/>
      </w:r>
      <w:r>
        <w:br/>
        <w:t>Be careful to avoid simply relaying too many facts, without sufficient integration of those facts into the points being made.</w:t>
      </w:r>
      <w:r>
        <w:br/>
      </w:r>
    </w:p>
    <w:p w:rsidR="00000000" w:rsidRDefault="00000000">
      <w:pPr>
        <w:pStyle w:val="Memobody"/>
        <w:numPr>
          <w:ilvl w:val="0"/>
          <w:numId w:val="6"/>
        </w:numPr>
        <w:jc w:val="left"/>
      </w:pPr>
      <w:r>
        <w:lastRenderedPageBreak/>
        <w:t xml:space="preserve">Feedback before issuing </w:t>
      </w:r>
      <w:r>
        <w:rPr>
          <w:b/>
        </w:rPr>
        <w:br/>
      </w:r>
      <w:r>
        <w:br/>
        <w:t>Get a colleague to read through a draft of the one pager – this should help ensure that you are getting across the message that you want.</w:t>
      </w:r>
      <w:r>
        <w:br/>
      </w:r>
    </w:p>
    <w:p w:rsidR="00000000" w:rsidRDefault="00000000">
      <w:pPr>
        <w:pStyle w:val="Memobody"/>
        <w:ind w:left="720"/>
        <w:jc w:val="left"/>
      </w:pPr>
      <w:r>
        <w:t>The one pager should be run past the research co-ordinator for the team, or their alternate, before issuing.</w:t>
      </w:r>
      <w:r>
        <w:br/>
      </w:r>
    </w:p>
    <w:p w:rsidR="00000000" w:rsidRDefault="00000000">
      <w:pPr>
        <w:pStyle w:val="Memobody"/>
        <w:numPr>
          <w:ilvl w:val="0"/>
          <w:numId w:val="6"/>
        </w:numPr>
        <w:jc w:val="left"/>
      </w:pPr>
      <w:r>
        <w:t>Freeze the one pager.</w:t>
      </w:r>
      <w:r>
        <w:br/>
      </w:r>
      <w:r>
        <w:br/>
        <w:t>Ensure that when the one pager has been completed, it is frozen on CoRes.</w:t>
      </w:r>
    </w:p>
    <w:p w:rsidR="00000000" w:rsidRDefault="00000000">
      <w:pPr>
        <w:pStyle w:val="Memobody"/>
        <w:jc w:val="left"/>
      </w:pPr>
    </w:p>
    <w:p w:rsidR="00000000" w:rsidRDefault="00000000">
      <w:pPr>
        <w:pStyle w:val="Memobody"/>
        <w:jc w:val="left"/>
      </w:pPr>
      <w:r>
        <w:t>The one pager format is shown overleaf, with specific guidelines for completing certain sections.</w:t>
      </w:r>
      <w:r>
        <w:br/>
      </w:r>
    </w:p>
    <w:p w:rsidR="00000000" w:rsidRDefault="00000000">
      <w:pPr>
        <w:pStyle w:val="Memobody"/>
        <w:jc w:val="left"/>
      </w:pPr>
    </w:p>
    <w:p w:rsidR="00000000" w:rsidRDefault="00000000">
      <w:r>
        <w:br w:type="page"/>
      </w:r>
      <w: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5040"/>
        <w:gridCol w:w="720"/>
        <w:gridCol w:w="1080"/>
      </w:tblGrid>
      <w:tr w:rsidR="00000000">
        <w:tblPrEx>
          <w:tblCellMar>
            <w:top w:w="0" w:type="dxa"/>
            <w:bottom w:w="0" w:type="dxa"/>
          </w:tblCellMar>
        </w:tblPrEx>
        <w:trPr>
          <w:cantSplit/>
        </w:trPr>
        <w:tc>
          <w:tcPr>
            <w:tcW w:w="1800" w:type="dxa"/>
          </w:tcPr>
          <w:p w:rsidR="00000000" w:rsidRDefault="00000000">
            <w:pPr>
              <w:pStyle w:val="Heading2"/>
            </w:pPr>
            <w:r>
              <w:t>COMPANY</w:t>
            </w:r>
          </w:p>
        </w:tc>
        <w:tc>
          <w:tcPr>
            <w:tcW w:w="5040" w:type="dxa"/>
          </w:tcPr>
          <w:p w:rsidR="00000000" w:rsidRDefault="00000000">
            <w:pPr>
              <w:pStyle w:val="Heading4"/>
              <w:rPr>
                <w:b w:val="0"/>
                <w:sz w:val="20"/>
              </w:rPr>
            </w:pPr>
          </w:p>
        </w:tc>
        <w:tc>
          <w:tcPr>
            <w:tcW w:w="720" w:type="dxa"/>
          </w:tcPr>
          <w:p w:rsidR="00000000" w:rsidRDefault="00000000">
            <w:pPr>
              <w:pStyle w:val="Heading2"/>
            </w:pPr>
            <w:r>
              <w:t>Date</w:t>
            </w:r>
          </w:p>
        </w:tc>
        <w:tc>
          <w:tcPr>
            <w:tcW w:w="1080" w:type="dxa"/>
          </w:tcPr>
          <w:p w:rsidR="00000000" w:rsidRDefault="00000000">
            <w:pPr>
              <w:rPr>
                <w:sz w:val="20"/>
              </w:rPr>
            </w:pPr>
            <w:r>
              <w:rPr>
                <w:sz w:val="20"/>
              </w:rPr>
              <w:t>See 1</w:t>
            </w: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080"/>
        <w:gridCol w:w="18"/>
        <w:gridCol w:w="1710"/>
        <w:gridCol w:w="72"/>
        <w:gridCol w:w="1080"/>
        <w:gridCol w:w="18"/>
        <w:gridCol w:w="1782"/>
        <w:gridCol w:w="18"/>
        <w:gridCol w:w="1062"/>
      </w:tblGrid>
      <w:tr w:rsidR="00000000">
        <w:tblPrEx>
          <w:tblCellMar>
            <w:top w:w="0" w:type="dxa"/>
            <w:bottom w:w="0" w:type="dxa"/>
          </w:tblCellMar>
        </w:tblPrEx>
        <w:trPr>
          <w:cantSplit/>
        </w:trPr>
        <w:tc>
          <w:tcPr>
            <w:tcW w:w="2898" w:type="dxa"/>
            <w:gridSpan w:val="3"/>
          </w:tcPr>
          <w:p w:rsidR="00000000" w:rsidRDefault="00000000">
            <w:pPr>
              <w:pStyle w:val="Heading2"/>
            </w:pPr>
            <w:r>
              <w:t>Analyst’s Assessment</w:t>
            </w:r>
          </w:p>
        </w:tc>
        <w:tc>
          <w:tcPr>
            <w:tcW w:w="1710" w:type="dxa"/>
          </w:tcPr>
          <w:p w:rsidR="00000000" w:rsidRDefault="00000000">
            <w:pPr>
              <w:pStyle w:val="Heading2"/>
            </w:pPr>
            <w:r>
              <w:t>Style fit</w:t>
            </w:r>
          </w:p>
        </w:tc>
        <w:tc>
          <w:tcPr>
            <w:tcW w:w="1170" w:type="dxa"/>
            <w:gridSpan w:val="3"/>
          </w:tcPr>
          <w:p w:rsidR="00000000" w:rsidRDefault="00000000">
            <w:pPr>
              <w:pStyle w:val="Heading2"/>
              <w:rPr>
                <w:b w:val="0"/>
              </w:rPr>
            </w:pPr>
            <w:r>
              <w:rPr>
                <w:b w:val="0"/>
              </w:rPr>
              <w:t>See 2</w:t>
            </w:r>
          </w:p>
        </w:tc>
        <w:tc>
          <w:tcPr>
            <w:tcW w:w="1800" w:type="dxa"/>
            <w:gridSpan w:val="2"/>
          </w:tcPr>
          <w:p w:rsidR="00000000" w:rsidRDefault="00000000">
            <w:pPr>
              <w:pStyle w:val="Heading2"/>
            </w:pPr>
            <w:r>
              <w:t>Balance of Risks</w:t>
            </w:r>
          </w:p>
        </w:tc>
        <w:tc>
          <w:tcPr>
            <w:tcW w:w="1062" w:type="dxa"/>
          </w:tcPr>
          <w:p w:rsidR="00000000" w:rsidRDefault="00000000">
            <w:pPr>
              <w:pStyle w:val="Heading2"/>
              <w:rPr>
                <w:b w:val="0"/>
              </w:rPr>
            </w:pPr>
            <w:r>
              <w:rPr>
                <w:b w:val="0"/>
              </w:rPr>
              <w:t>See 3</w:t>
            </w:r>
          </w:p>
        </w:tc>
      </w:tr>
      <w:tr w:rsidR="00000000">
        <w:tblPrEx>
          <w:tblCellMar>
            <w:top w:w="0" w:type="dxa"/>
            <w:bottom w:w="0" w:type="dxa"/>
          </w:tblCellMar>
        </w:tblPrEx>
        <w:trPr>
          <w:cantSplit/>
        </w:trPr>
        <w:tc>
          <w:tcPr>
            <w:tcW w:w="8640" w:type="dxa"/>
            <w:gridSpan w:val="10"/>
          </w:tcPr>
          <w:p w:rsidR="00000000" w:rsidRDefault="00000000">
            <w:pPr>
              <w:pStyle w:val="Heading2"/>
            </w:pPr>
          </w:p>
          <w:p w:rsidR="00000000" w:rsidRDefault="00000000">
            <w:r>
              <w:t>See 4</w:t>
            </w:r>
          </w:p>
          <w:p w:rsidR="00000000" w:rsidRDefault="00000000">
            <w:pPr>
              <w:pStyle w:val="Header"/>
              <w:tabs>
                <w:tab w:val="clear" w:pos="4153"/>
                <w:tab w:val="clear" w:pos="8306"/>
              </w:tabs>
            </w:pPr>
          </w:p>
          <w:p w:rsidR="00000000" w:rsidRDefault="00000000"/>
          <w:p w:rsidR="00000000" w:rsidRDefault="00000000"/>
        </w:tc>
      </w:tr>
      <w:tr w:rsidR="00000000">
        <w:tblPrEx>
          <w:tblCellMar>
            <w:top w:w="0" w:type="dxa"/>
            <w:bottom w:w="0" w:type="dxa"/>
          </w:tblCellMar>
        </w:tblPrEx>
        <w:trPr>
          <w:cantSplit/>
          <w:trHeight w:val="25"/>
        </w:trPr>
        <w:tc>
          <w:tcPr>
            <w:tcW w:w="1800" w:type="dxa"/>
          </w:tcPr>
          <w:p w:rsidR="00000000" w:rsidRDefault="00000000">
            <w:pPr>
              <w:pStyle w:val="Heading2"/>
            </w:pPr>
            <w:r>
              <w:t>Analyst</w:t>
            </w:r>
          </w:p>
        </w:tc>
        <w:tc>
          <w:tcPr>
            <w:tcW w:w="1080" w:type="dxa"/>
          </w:tcPr>
          <w:p w:rsidR="00000000" w:rsidRDefault="00000000">
            <w:pPr>
              <w:pStyle w:val="Heading2"/>
            </w:pPr>
          </w:p>
        </w:tc>
        <w:tc>
          <w:tcPr>
            <w:tcW w:w="1800" w:type="dxa"/>
            <w:gridSpan w:val="3"/>
          </w:tcPr>
          <w:p w:rsidR="00000000" w:rsidRDefault="00000000">
            <w:pPr>
              <w:pStyle w:val="Heading2"/>
            </w:pPr>
            <w:r>
              <w:t xml:space="preserve">Current rating </w:t>
            </w:r>
          </w:p>
        </w:tc>
        <w:tc>
          <w:tcPr>
            <w:tcW w:w="1080" w:type="dxa"/>
          </w:tcPr>
          <w:p w:rsidR="00000000" w:rsidRDefault="00000000">
            <w:pPr>
              <w:pStyle w:val="Heading2"/>
              <w:rPr>
                <w:b w:val="0"/>
              </w:rPr>
            </w:pPr>
            <w:r>
              <w:rPr>
                <w:b w:val="0"/>
              </w:rPr>
              <w:t>See 5</w:t>
            </w:r>
          </w:p>
        </w:tc>
        <w:tc>
          <w:tcPr>
            <w:tcW w:w="1800" w:type="dxa"/>
            <w:gridSpan w:val="2"/>
          </w:tcPr>
          <w:p w:rsidR="00000000" w:rsidRDefault="00000000">
            <w:pPr>
              <w:pStyle w:val="Heading2"/>
            </w:pPr>
            <w:r>
              <w:t>Previous rating</w:t>
            </w:r>
          </w:p>
        </w:tc>
        <w:tc>
          <w:tcPr>
            <w:tcW w:w="1080" w:type="dxa"/>
            <w:gridSpan w:val="2"/>
          </w:tcPr>
          <w:p w:rsidR="00000000" w:rsidRDefault="00000000">
            <w:pPr>
              <w:pStyle w:val="Heading2"/>
              <w:rPr>
                <w:b w:val="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960"/>
        <w:gridCol w:w="1440"/>
        <w:gridCol w:w="1440"/>
      </w:tblGrid>
      <w:tr w:rsidR="00000000">
        <w:tblPrEx>
          <w:tblCellMar>
            <w:top w:w="0" w:type="dxa"/>
            <w:bottom w:w="0" w:type="dxa"/>
          </w:tblCellMar>
        </w:tblPrEx>
        <w:trPr>
          <w:cantSplit/>
        </w:trPr>
        <w:tc>
          <w:tcPr>
            <w:tcW w:w="1800" w:type="dxa"/>
          </w:tcPr>
          <w:p w:rsidR="00000000" w:rsidRDefault="00000000">
            <w:pPr>
              <w:rPr>
                <w:b/>
                <w:sz w:val="20"/>
              </w:rPr>
            </w:pPr>
            <w:r>
              <w:rPr>
                <w:b/>
                <w:sz w:val="20"/>
              </w:rPr>
              <w:t>Sector</w:t>
            </w:r>
          </w:p>
        </w:tc>
        <w:tc>
          <w:tcPr>
            <w:tcW w:w="3960" w:type="dxa"/>
          </w:tcPr>
          <w:p w:rsidR="00000000" w:rsidRDefault="00000000">
            <w:pPr>
              <w:rPr>
                <w:sz w:val="20"/>
              </w:rPr>
            </w:pPr>
          </w:p>
        </w:tc>
        <w:tc>
          <w:tcPr>
            <w:tcW w:w="1440" w:type="dxa"/>
          </w:tcPr>
          <w:p w:rsidR="00000000" w:rsidRDefault="00000000">
            <w:pPr>
              <w:rPr>
                <w:b/>
                <w:sz w:val="20"/>
              </w:rPr>
            </w:pPr>
            <w:r>
              <w:rPr>
                <w:b/>
                <w:sz w:val="20"/>
              </w:rPr>
              <w:t>Country</w:t>
            </w:r>
          </w:p>
        </w:tc>
        <w:tc>
          <w:tcPr>
            <w:tcW w:w="1440" w:type="dxa"/>
          </w:tcPr>
          <w:p w:rsidR="00000000" w:rsidRDefault="00000000">
            <w:pPr>
              <w:rPr>
                <w:sz w:val="20"/>
              </w:rPr>
            </w:pPr>
          </w:p>
        </w:tc>
      </w:tr>
      <w:tr w:rsidR="00000000">
        <w:tblPrEx>
          <w:tblCellMar>
            <w:top w:w="0" w:type="dxa"/>
            <w:bottom w:w="0" w:type="dxa"/>
          </w:tblCellMar>
        </w:tblPrEx>
        <w:tc>
          <w:tcPr>
            <w:tcW w:w="1800" w:type="dxa"/>
          </w:tcPr>
          <w:p w:rsidR="00000000" w:rsidRDefault="00000000">
            <w:pPr>
              <w:rPr>
                <w:b/>
                <w:sz w:val="20"/>
              </w:rPr>
            </w:pPr>
            <w:r>
              <w:rPr>
                <w:b/>
                <w:sz w:val="20"/>
              </w:rPr>
              <w:t xml:space="preserve">FIS Category </w:t>
            </w:r>
          </w:p>
        </w:tc>
        <w:tc>
          <w:tcPr>
            <w:tcW w:w="3960" w:type="dxa"/>
          </w:tcPr>
          <w:p w:rsidR="00000000" w:rsidRDefault="00000000">
            <w:pPr>
              <w:rPr>
                <w:sz w:val="20"/>
              </w:rPr>
            </w:pPr>
            <w:r>
              <w:rPr>
                <w:sz w:val="20"/>
              </w:rPr>
              <w:t>See 6</w:t>
            </w:r>
          </w:p>
        </w:tc>
        <w:tc>
          <w:tcPr>
            <w:tcW w:w="1440" w:type="dxa"/>
          </w:tcPr>
          <w:p w:rsidR="00000000" w:rsidRDefault="00000000">
            <w:pPr>
              <w:rPr>
                <w:b/>
                <w:sz w:val="20"/>
              </w:rPr>
            </w:pPr>
            <w:r>
              <w:rPr>
                <w:b/>
                <w:sz w:val="20"/>
              </w:rPr>
              <w:t>Last seen</w:t>
            </w:r>
          </w:p>
        </w:tc>
        <w:tc>
          <w:tcPr>
            <w:tcW w:w="1440" w:type="dxa"/>
          </w:tcPr>
          <w:p w:rsidR="00000000" w:rsidRDefault="00000000">
            <w:pPr>
              <w:rPr>
                <w:sz w:val="20"/>
              </w:rPr>
            </w:pPr>
          </w:p>
        </w:tc>
      </w:tr>
      <w:tr w:rsidR="00000000">
        <w:tblPrEx>
          <w:tblCellMar>
            <w:top w:w="0" w:type="dxa"/>
            <w:bottom w:w="0" w:type="dxa"/>
          </w:tblCellMar>
        </w:tblPrEx>
        <w:tc>
          <w:tcPr>
            <w:tcW w:w="1800" w:type="dxa"/>
          </w:tcPr>
          <w:p w:rsidR="00000000" w:rsidRDefault="00000000">
            <w:pPr>
              <w:rPr>
                <w:b/>
                <w:sz w:val="20"/>
              </w:rPr>
            </w:pPr>
            <w:r>
              <w:rPr>
                <w:b/>
                <w:sz w:val="20"/>
              </w:rPr>
              <w:t>Business</w:t>
            </w:r>
          </w:p>
          <w:p w:rsidR="00000000" w:rsidRDefault="00000000">
            <w:pPr>
              <w:rPr>
                <w:b/>
                <w:sz w:val="20"/>
              </w:rPr>
            </w:pPr>
          </w:p>
        </w:tc>
        <w:tc>
          <w:tcPr>
            <w:tcW w:w="6840" w:type="dxa"/>
            <w:gridSpan w:val="3"/>
          </w:tcPr>
          <w:p w:rsidR="00000000" w:rsidRDefault="00000000">
            <w:pPr>
              <w:rPr>
                <w:sz w:val="20"/>
              </w:rPr>
            </w:pPr>
          </w:p>
        </w:tc>
      </w:tr>
      <w:tr w:rsidR="00000000">
        <w:tblPrEx>
          <w:tblCellMar>
            <w:top w:w="0" w:type="dxa"/>
            <w:bottom w:w="0" w:type="dxa"/>
          </w:tblCellMar>
        </w:tblPrEx>
        <w:tc>
          <w:tcPr>
            <w:tcW w:w="1800" w:type="dxa"/>
          </w:tcPr>
          <w:p w:rsidR="00000000" w:rsidRDefault="00000000">
            <w:pPr>
              <w:rPr>
                <w:b/>
                <w:sz w:val="20"/>
              </w:rPr>
            </w:pPr>
            <w:r>
              <w:rPr>
                <w:b/>
                <w:sz w:val="20"/>
              </w:rPr>
              <w:t>Year End</w:t>
            </w:r>
          </w:p>
        </w:tc>
        <w:tc>
          <w:tcPr>
            <w:tcW w:w="3960" w:type="dxa"/>
          </w:tcPr>
          <w:p w:rsidR="00000000" w:rsidRDefault="00000000">
            <w:pPr>
              <w:rPr>
                <w:sz w:val="20"/>
              </w:rPr>
            </w:pPr>
          </w:p>
        </w:tc>
        <w:tc>
          <w:tcPr>
            <w:tcW w:w="1440" w:type="dxa"/>
          </w:tcPr>
          <w:p w:rsidR="00000000" w:rsidRDefault="00000000">
            <w:pPr>
              <w:pStyle w:val="Heading2"/>
            </w:pPr>
            <w:r>
              <w:t>Price</w:t>
            </w:r>
          </w:p>
        </w:tc>
        <w:tc>
          <w:tcPr>
            <w:tcW w:w="1440" w:type="dxa"/>
          </w:tcPr>
          <w:p w:rsidR="00000000" w:rsidRDefault="00000000">
            <w:pPr>
              <w:rPr>
                <w:sz w:val="20"/>
              </w:rPr>
            </w:pPr>
            <w:r>
              <w:rPr>
                <w:sz w:val="20"/>
              </w:rPr>
              <w:t>See 7</w:t>
            </w:r>
          </w:p>
        </w:tc>
      </w:tr>
      <w:tr w:rsidR="00000000">
        <w:tblPrEx>
          <w:tblCellMar>
            <w:top w:w="0" w:type="dxa"/>
            <w:bottom w:w="0" w:type="dxa"/>
          </w:tblCellMar>
        </w:tblPrEx>
        <w:trPr>
          <w:cantSplit/>
        </w:trPr>
        <w:tc>
          <w:tcPr>
            <w:tcW w:w="1800" w:type="dxa"/>
          </w:tcPr>
          <w:p w:rsidR="00000000" w:rsidRDefault="00000000">
            <w:pPr>
              <w:rPr>
                <w:b/>
                <w:sz w:val="20"/>
              </w:rPr>
            </w:pPr>
            <w:r>
              <w:rPr>
                <w:b/>
                <w:sz w:val="20"/>
              </w:rPr>
              <w:t>Next Event /Catalyst</w:t>
            </w:r>
          </w:p>
        </w:tc>
        <w:tc>
          <w:tcPr>
            <w:tcW w:w="6840" w:type="dxa"/>
            <w:gridSpan w:val="3"/>
          </w:tcPr>
          <w:p w:rsidR="00000000" w:rsidRDefault="00000000">
            <w:pPr>
              <w:rPr>
                <w:sz w:val="20"/>
              </w:rPr>
            </w:pPr>
            <w:r>
              <w:rPr>
                <w:sz w:val="20"/>
              </w:rPr>
              <w:t>See 8</w:t>
            </w: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368"/>
        <w:gridCol w:w="1368"/>
        <w:gridCol w:w="1368"/>
        <w:gridCol w:w="1368"/>
        <w:gridCol w:w="1368"/>
      </w:tblGrid>
      <w:tr w:rsidR="00000000">
        <w:tblPrEx>
          <w:tblCellMar>
            <w:top w:w="0" w:type="dxa"/>
            <w:bottom w:w="0" w:type="dxa"/>
          </w:tblCellMar>
        </w:tblPrEx>
        <w:tc>
          <w:tcPr>
            <w:tcW w:w="1800" w:type="dxa"/>
          </w:tcPr>
          <w:p w:rsidR="00000000" w:rsidRDefault="00000000">
            <w:pPr>
              <w:rPr>
                <w:b/>
                <w:sz w:val="20"/>
              </w:rPr>
            </w:pPr>
          </w:p>
        </w:tc>
        <w:tc>
          <w:tcPr>
            <w:tcW w:w="1368" w:type="dxa"/>
          </w:tcPr>
          <w:p w:rsidR="00000000" w:rsidRDefault="00000000">
            <w:pPr>
              <w:jc w:val="center"/>
              <w:rPr>
                <w:b/>
                <w:sz w:val="20"/>
              </w:rPr>
            </w:pPr>
            <w:r>
              <w:rPr>
                <w:b/>
                <w:sz w:val="20"/>
              </w:rPr>
              <w:t>FY - 1</w:t>
            </w:r>
          </w:p>
        </w:tc>
        <w:tc>
          <w:tcPr>
            <w:tcW w:w="1368" w:type="dxa"/>
          </w:tcPr>
          <w:p w:rsidR="00000000" w:rsidRDefault="00000000">
            <w:pPr>
              <w:jc w:val="center"/>
              <w:rPr>
                <w:b/>
                <w:sz w:val="20"/>
              </w:rPr>
            </w:pPr>
            <w:r>
              <w:rPr>
                <w:b/>
                <w:sz w:val="20"/>
              </w:rPr>
              <w:t>FY - 0</w:t>
            </w:r>
          </w:p>
        </w:tc>
        <w:tc>
          <w:tcPr>
            <w:tcW w:w="1368" w:type="dxa"/>
          </w:tcPr>
          <w:p w:rsidR="00000000" w:rsidRDefault="00000000">
            <w:pPr>
              <w:jc w:val="center"/>
              <w:rPr>
                <w:b/>
                <w:sz w:val="20"/>
              </w:rPr>
            </w:pPr>
            <w:r>
              <w:rPr>
                <w:b/>
                <w:sz w:val="20"/>
              </w:rPr>
              <w:t>FY + 1</w:t>
            </w:r>
          </w:p>
        </w:tc>
        <w:tc>
          <w:tcPr>
            <w:tcW w:w="1368" w:type="dxa"/>
          </w:tcPr>
          <w:p w:rsidR="00000000" w:rsidRDefault="00000000">
            <w:pPr>
              <w:jc w:val="center"/>
              <w:rPr>
                <w:b/>
                <w:sz w:val="20"/>
              </w:rPr>
            </w:pPr>
            <w:r>
              <w:rPr>
                <w:b/>
                <w:sz w:val="20"/>
              </w:rPr>
              <w:t>FY + 2</w:t>
            </w:r>
          </w:p>
        </w:tc>
        <w:tc>
          <w:tcPr>
            <w:tcW w:w="1368" w:type="dxa"/>
          </w:tcPr>
          <w:p w:rsidR="00000000" w:rsidRDefault="00000000">
            <w:pPr>
              <w:jc w:val="center"/>
              <w:rPr>
                <w:b/>
                <w:sz w:val="20"/>
              </w:rPr>
            </w:pPr>
            <w:r>
              <w:rPr>
                <w:b/>
                <w:sz w:val="20"/>
              </w:rPr>
              <w:t>FY + 3</w:t>
            </w:r>
          </w:p>
        </w:tc>
      </w:tr>
      <w:tr w:rsidR="00000000">
        <w:tblPrEx>
          <w:tblCellMar>
            <w:top w:w="0" w:type="dxa"/>
            <w:bottom w:w="0" w:type="dxa"/>
          </w:tblCellMar>
        </w:tblPrEx>
        <w:tc>
          <w:tcPr>
            <w:tcW w:w="1800" w:type="dxa"/>
          </w:tcPr>
          <w:p w:rsidR="00000000" w:rsidRDefault="00000000">
            <w:pPr>
              <w:rPr>
                <w:b/>
                <w:sz w:val="20"/>
              </w:rPr>
            </w:pPr>
            <w:r>
              <w:rPr>
                <w:b/>
                <w:sz w:val="20"/>
              </w:rPr>
              <w:t xml:space="preserve">EPS </w:t>
            </w:r>
            <w:r>
              <w:rPr>
                <w:sz w:val="20"/>
              </w:rPr>
              <w:t>(See 9)</w:t>
            </w:r>
          </w:p>
        </w:tc>
        <w:tc>
          <w:tcPr>
            <w:tcW w:w="1368" w:type="dxa"/>
            <w:tcBorders>
              <w:bottom w:val="nil"/>
            </w:tcBorders>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center"/>
              <w:rPr>
                <w:sz w:val="20"/>
              </w:rPr>
            </w:pPr>
            <w:r>
              <w:rPr>
                <w:sz w:val="20"/>
              </w:rPr>
              <w:t>See 10</w:t>
            </w:r>
          </w:p>
        </w:tc>
        <w:tc>
          <w:tcPr>
            <w:tcW w:w="1368" w:type="dxa"/>
          </w:tcPr>
          <w:p w:rsidR="00000000" w:rsidRDefault="00000000">
            <w:pPr>
              <w:jc w:val="center"/>
              <w:rPr>
                <w:sz w:val="20"/>
              </w:rPr>
            </w:pPr>
          </w:p>
        </w:tc>
        <w:tc>
          <w:tcPr>
            <w:tcW w:w="1368" w:type="dxa"/>
          </w:tcPr>
          <w:p w:rsidR="00000000" w:rsidRDefault="00000000">
            <w:pPr>
              <w:jc w:val="center"/>
              <w:rPr>
                <w:sz w:val="20"/>
              </w:rPr>
            </w:pPr>
            <w:r>
              <w:rPr>
                <w:sz w:val="20"/>
              </w:rPr>
              <w:t>See 11</w:t>
            </w:r>
          </w:p>
        </w:tc>
      </w:tr>
      <w:tr w:rsidR="00000000">
        <w:tblPrEx>
          <w:tblCellMar>
            <w:top w:w="0" w:type="dxa"/>
            <w:bottom w:w="0" w:type="dxa"/>
          </w:tblCellMar>
        </w:tblPrEx>
        <w:tc>
          <w:tcPr>
            <w:tcW w:w="1800" w:type="dxa"/>
          </w:tcPr>
          <w:p w:rsidR="00000000" w:rsidRDefault="00000000">
            <w:pPr>
              <w:rPr>
                <w:b/>
                <w:sz w:val="20"/>
              </w:rPr>
            </w:pPr>
            <w:r>
              <w:rPr>
                <w:b/>
                <w:sz w:val="20"/>
              </w:rPr>
              <w:t>Change (%)</w:t>
            </w:r>
          </w:p>
        </w:tc>
        <w:tc>
          <w:tcPr>
            <w:tcW w:w="1368" w:type="dxa"/>
            <w:shd w:val="horzCross" w:color="0000FF" w:fill="000000"/>
          </w:tcPr>
          <w:p w:rsidR="00000000" w:rsidRDefault="00000000">
            <w:pPr>
              <w:jc w:val="right"/>
              <w:rPr>
                <w:sz w:val="20"/>
              </w:rPr>
            </w:pPr>
          </w:p>
        </w:tc>
        <w:tc>
          <w:tcPr>
            <w:tcW w:w="1368" w:type="dxa"/>
            <w:tcBorders>
              <w:bottom w:val="nil"/>
            </w:tcBorders>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r>
      <w:tr w:rsidR="00000000">
        <w:tblPrEx>
          <w:tblCellMar>
            <w:top w:w="0" w:type="dxa"/>
            <w:bottom w:w="0" w:type="dxa"/>
          </w:tblCellMar>
        </w:tblPrEx>
        <w:tc>
          <w:tcPr>
            <w:tcW w:w="1800" w:type="dxa"/>
          </w:tcPr>
          <w:p w:rsidR="00000000" w:rsidRDefault="00000000">
            <w:pPr>
              <w:rPr>
                <w:b/>
                <w:sz w:val="20"/>
              </w:rPr>
            </w:pPr>
            <w:r>
              <w:rPr>
                <w:b/>
                <w:sz w:val="20"/>
              </w:rPr>
              <w:t>P/E</w:t>
            </w:r>
          </w:p>
        </w:tc>
        <w:tc>
          <w:tcPr>
            <w:tcW w:w="1368" w:type="dxa"/>
            <w:shd w:val="horzCross" w:color="0000FF" w:fill="000000"/>
          </w:tcPr>
          <w:p w:rsidR="00000000" w:rsidRDefault="00000000">
            <w:pPr>
              <w:jc w:val="right"/>
              <w:rPr>
                <w:sz w:val="20"/>
              </w:rPr>
            </w:pPr>
          </w:p>
        </w:tc>
        <w:tc>
          <w:tcPr>
            <w:tcW w:w="1368" w:type="dxa"/>
            <w:shd w:val="clear" w:color="0000FF" w:fill="auto"/>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r>
    </w:tbl>
    <w:p w:rsidR="00000000" w:rsidRDefault="00000000">
      <w:pPr>
        <w:pStyle w:val="Header"/>
        <w:tabs>
          <w:tab w:val="clear" w:pos="4153"/>
          <w:tab w:val="clear" w:pos="8306"/>
        </w:tabs>
      </w:pPr>
      <w:r>
        <w:t xml:space="preserve"> * FIS forecast </w:t>
      </w:r>
    </w:p>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000000">
        <w:tblPrEx>
          <w:tblCellMar>
            <w:top w:w="0" w:type="dxa"/>
            <w:bottom w:w="0" w:type="dxa"/>
          </w:tblCellMar>
        </w:tblPrEx>
        <w:tc>
          <w:tcPr>
            <w:tcW w:w="8640" w:type="dxa"/>
          </w:tcPr>
          <w:p w:rsidR="00000000" w:rsidRDefault="00000000">
            <w:pPr>
              <w:pStyle w:val="Heading3"/>
              <w:jc w:val="left"/>
              <w:rPr>
                <w:sz w:val="20"/>
              </w:rPr>
            </w:pPr>
            <w:r>
              <w:rPr>
                <w:sz w:val="20"/>
              </w:rPr>
              <w:t>Assessment of Key Drivers</w:t>
            </w:r>
          </w:p>
        </w:tc>
      </w:tr>
      <w:tr w:rsidR="00000000">
        <w:tblPrEx>
          <w:tblCellMar>
            <w:top w:w="0" w:type="dxa"/>
            <w:bottom w:w="0" w:type="dxa"/>
          </w:tblCellMar>
        </w:tblPrEx>
        <w:tc>
          <w:tcPr>
            <w:tcW w:w="8640" w:type="dxa"/>
          </w:tcPr>
          <w:p w:rsidR="00000000" w:rsidRDefault="00000000">
            <w:pPr>
              <w:pStyle w:val="Heading2"/>
            </w:pPr>
            <w:r>
              <w:t xml:space="preserve">GROWTH </w:t>
            </w:r>
          </w:p>
          <w:p w:rsidR="00000000" w:rsidRDefault="00000000">
            <w:pPr>
              <w:pStyle w:val="Heading2"/>
            </w:pPr>
          </w:p>
          <w:p w:rsidR="00000000" w:rsidRDefault="00000000">
            <w:pPr>
              <w:pStyle w:val="Heading2"/>
              <w:rPr>
                <w:b w:val="0"/>
              </w:rPr>
            </w:pPr>
            <w:r>
              <w:rPr>
                <w:b w:val="0"/>
              </w:rPr>
              <w:t>See 12</w:t>
            </w:r>
          </w:p>
          <w:p w:rsidR="00000000" w:rsidRDefault="00000000">
            <w:pPr>
              <w:rPr>
                <w:sz w:val="20"/>
              </w:rPr>
            </w:pPr>
          </w:p>
          <w:p w:rsidR="00000000" w:rsidRDefault="00000000">
            <w:pPr>
              <w:rPr>
                <w:sz w:val="20"/>
              </w:rPr>
            </w:pPr>
          </w:p>
          <w:p w:rsidR="00000000" w:rsidRDefault="00000000">
            <w:pPr>
              <w:rPr>
                <w:sz w:val="20"/>
              </w:rPr>
            </w:pPr>
          </w:p>
        </w:tc>
      </w:tr>
      <w:tr w:rsidR="00000000">
        <w:tblPrEx>
          <w:tblCellMar>
            <w:top w:w="0" w:type="dxa"/>
            <w:bottom w:w="0" w:type="dxa"/>
          </w:tblCellMar>
        </w:tblPrEx>
        <w:tc>
          <w:tcPr>
            <w:tcW w:w="8640" w:type="dxa"/>
          </w:tcPr>
          <w:p w:rsidR="00000000" w:rsidRDefault="00000000">
            <w:pPr>
              <w:pStyle w:val="Heading2"/>
            </w:pPr>
            <w:r>
              <w:t>BUSINESS MOMENTUM</w:t>
            </w:r>
          </w:p>
          <w:p w:rsidR="00000000" w:rsidRDefault="00000000">
            <w:pPr>
              <w:rPr>
                <w:sz w:val="20"/>
              </w:rPr>
            </w:pPr>
          </w:p>
          <w:p w:rsidR="00000000" w:rsidRDefault="00000000">
            <w:pPr>
              <w:rPr>
                <w:sz w:val="20"/>
              </w:rPr>
            </w:pPr>
            <w:r>
              <w:rPr>
                <w:sz w:val="20"/>
              </w:rPr>
              <w:t>See 13</w:t>
            </w:r>
          </w:p>
          <w:p w:rsidR="00000000" w:rsidRDefault="00000000">
            <w:pPr>
              <w:rPr>
                <w:sz w:val="20"/>
              </w:rPr>
            </w:pPr>
          </w:p>
          <w:p w:rsidR="00000000" w:rsidRDefault="00000000">
            <w:pPr>
              <w:rPr>
                <w:sz w:val="20"/>
              </w:rPr>
            </w:pPr>
          </w:p>
          <w:p w:rsidR="00000000" w:rsidRDefault="00000000">
            <w:pPr>
              <w:rPr>
                <w:sz w:val="20"/>
              </w:rPr>
            </w:pPr>
          </w:p>
        </w:tc>
      </w:tr>
      <w:tr w:rsidR="00000000">
        <w:tblPrEx>
          <w:tblCellMar>
            <w:top w:w="0" w:type="dxa"/>
            <w:bottom w:w="0" w:type="dxa"/>
          </w:tblCellMar>
        </w:tblPrEx>
        <w:tc>
          <w:tcPr>
            <w:tcW w:w="8640" w:type="dxa"/>
          </w:tcPr>
          <w:p w:rsidR="00000000" w:rsidRDefault="00000000">
            <w:pPr>
              <w:pStyle w:val="Heading2"/>
            </w:pPr>
            <w:r>
              <w:t>CONSISTENCY</w:t>
            </w:r>
          </w:p>
          <w:p w:rsidR="00000000" w:rsidRDefault="00000000">
            <w:pPr>
              <w:rPr>
                <w:sz w:val="20"/>
              </w:rPr>
            </w:pPr>
          </w:p>
          <w:p w:rsidR="00000000" w:rsidRDefault="00000000">
            <w:pPr>
              <w:rPr>
                <w:sz w:val="20"/>
              </w:rPr>
            </w:pPr>
            <w:r>
              <w:rPr>
                <w:sz w:val="20"/>
              </w:rPr>
              <w:t>See 14</w:t>
            </w:r>
          </w:p>
          <w:p w:rsidR="00000000" w:rsidRDefault="00000000">
            <w:pPr>
              <w:rPr>
                <w:sz w:val="20"/>
              </w:rPr>
            </w:pPr>
          </w:p>
          <w:p w:rsidR="00000000" w:rsidRDefault="00000000">
            <w:pPr>
              <w:rPr>
                <w:sz w:val="20"/>
              </w:rPr>
            </w:pPr>
          </w:p>
          <w:p w:rsidR="00000000" w:rsidRDefault="00000000">
            <w:pPr>
              <w:rPr>
                <w:sz w:val="2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000000">
        <w:tblPrEx>
          <w:tblCellMar>
            <w:top w:w="0" w:type="dxa"/>
            <w:bottom w:w="0" w:type="dxa"/>
          </w:tblCellMar>
        </w:tblPrEx>
        <w:trPr>
          <w:cantSplit/>
        </w:trPr>
        <w:tc>
          <w:tcPr>
            <w:tcW w:w="4320" w:type="dxa"/>
          </w:tcPr>
          <w:p w:rsidR="00000000" w:rsidRDefault="00000000">
            <w:pPr>
              <w:jc w:val="center"/>
            </w:pPr>
            <w:r>
              <w:rPr>
                <w:b/>
              </w:rPr>
              <w:t>Main Analyst Contacts</w:t>
            </w:r>
          </w:p>
        </w:tc>
        <w:tc>
          <w:tcPr>
            <w:tcW w:w="4320" w:type="dxa"/>
          </w:tcPr>
          <w:p w:rsidR="00000000" w:rsidRDefault="00000000">
            <w:pPr>
              <w:pStyle w:val="Heading2"/>
              <w:jc w:val="center"/>
            </w:pPr>
            <w:r>
              <w:t>Company Contacts</w:t>
            </w:r>
          </w:p>
        </w:tc>
      </w:tr>
      <w:tr w:rsidR="00000000">
        <w:tblPrEx>
          <w:tblCellMar>
            <w:top w:w="0" w:type="dxa"/>
            <w:bottom w:w="0" w:type="dxa"/>
          </w:tblCellMar>
        </w:tblPrEx>
        <w:trPr>
          <w:cantSplit/>
        </w:trPr>
        <w:tc>
          <w:tcPr>
            <w:tcW w:w="4320" w:type="dxa"/>
          </w:tcPr>
          <w:p w:rsidR="00000000" w:rsidRDefault="00000000"/>
          <w:p w:rsidR="00000000" w:rsidRDefault="00000000"/>
        </w:tc>
        <w:tc>
          <w:tcPr>
            <w:tcW w:w="4320" w:type="dxa"/>
          </w:tcPr>
          <w:p w:rsidR="00000000" w:rsidRDefault="00000000"/>
          <w:p w:rsidR="00000000" w:rsidRDefault="00000000"/>
          <w:p w:rsidR="00000000" w:rsidRDefault="00000000"/>
        </w:tc>
      </w:tr>
    </w:tbl>
    <w:p w:rsidR="00000000" w:rsidRDefault="00000000">
      <w:pPr>
        <w:rPr>
          <w:b/>
          <w:snapToGrid w:val="0"/>
          <w:sz w:val="24"/>
          <w:lang w:eastAsia="en-US"/>
        </w:rPr>
      </w:pPr>
    </w:p>
    <w:p w:rsidR="00000000" w:rsidRDefault="00000000">
      <w:pPr>
        <w:rPr>
          <w:b/>
        </w:rPr>
      </w:pPr>
      <w:r>
        <w:rPr>
          <w:b/>
        </w:rPr>
        <w:br w:type="page"/>
      </w:r>
      <w:r>
        <w:rPr>
          <w:b/>
        </w:rPr>
        <w:lastRenderedPageBreak/>
        <w:t xml:space="preserve">Specific Guidelines for completing one </w:t>
      </w:r>
      <w:proofErr w:type="gramStart"/>
      <w:r>
        <w:rPr>
          <w:b/>
        </w:rPr>
        <w:t>pagers</w:t>
      </w:r>
      <w:proofErr w:type="gramEnd"/>
    </w:p>
    <w:p w:rsidR="00000000" w:rsidRDefault="00000000">
      <w:pPr>
        <w:rPr>
          <w:b/>
        </w:rPr>
      </w:pPr>
    </w:p>
    <w:p w:rsidR="00000000" w:rsidRDefault="00000000">
      <w:pPr>
        <w:numPr>
          <w:ilvl w:val="0"/>
          <w:numId w:val="15"/>
        </w:numPr>
      </w:pPr>
      <w:r>
        <w:t>The date should be the day of the note being issued and frozen on CoRes.</w:t>
      </w:r>
      <w:r>
        <w:br/>
      </w:r>
    </w:p>
    <w:p w:rsidR="00000000" w:rsidRDefault="00000000">
      <w:pPr>
        <w:numPr>
          <w:ilvl w:val="0"/>
          <w:numId w:val="15"/>
        </w:numPr>
        <w:rPr>
          <w:b/>
        </w:rPr>
      </w:pPr>
      <w:r>
        <w:t>The style fit should reflect the extent to which the stock is expected to show the growth, business momentum and consistency characteristics that define our investment style.</w:t>
      </w:r>
      <w:r>
        <w:br/>
      </w:r>
      <w:r>
        <w:br/>
        <w:t>This should be based on consensus expectations regarding the future rather than any non-consensus views of the individual analyst.</w:t>
      </w:r>
      <w:r>
        <w:br/>
      </w:r>
      <w:r>
        <w:br/>
        <w:t>The style fit should be judged relative to the research universe for the relevant region (country in Pacific ex Japan).  For UK Smaller Companies it is judged relative to the universe of UK stocks below the top 200.</w:t>
      </w:r>
      <w:r>
        <w:br/>
      </w:r>
      <w:r>
        <w:br/>
        <w:t xml:space="preserve">The style fit should be assessed as one of the </w:t>
      </w:r>
      <w:proofErr w:type="gramStart"/>
      <w:r>
        <w:t>following:-</w:t>
      </w:r>
      <w:proofErr w:type="gramEnd"/>
      <w:r>
        <w:br/>
      </w:r>
      <w:r>
        <w:br/>
        <w:t>Very good</w:t>
      </w:r>
      <w:r>
        <w:br/>
        <w:t>Good</w:t>
      </w:r>
      <w:r>
        <w:br/>
        <w:t>Average</w:t>
      </w:r>
      <w:r>
        <w:br/>
        <w:t>Poor</w:t>
      </w:r>
      <w:r>
        <w:br/>
        <w:t>Very poor</w:t>
      </w:r>
      <w:r>
        <w:br/>
      </w:r>
    </w:p>
    <w:p w:rsidR="00000000" w:rsidRDefault="00000000">
      <w:pPr>
        <w:numPr>
          <w:ilvl w:val="0"/>
          <w:numId w:val="15"/>
        </w:numPr>
      </w:pPr>
      <w:r>
        <w:t>‘Balance of risks’ refers to the analyst’s view of the balance of risks to market expectations</w:t>
      </w:r>
      <w:r>
        <w:br/>
      </w:r>
      <w:r>
        <w:br/>
        <w:t xml:space="preserve">This extent to which the judgement of the analyst is that the balance of risks to market expectations for the stock is on the upside or on the downside.  This includes the risks to market expectations for both the </w:t>
      </w:r>
      <w:proofErr w:type="gramStart"/>
      <w:r>
        <w:t>short and long term</w:t>
      </w:r>
      <w:proofErr w:type="gramEnd"/>
      <w:r>
        <w:t xml:space="preserve"> profit progression and for any other factors that are considered important (eg potential industry consolidation).  </w:t>
      </w:r>
      <w:r>
        <w:br/>
      </w:r>
      <w:r>
        <w:br/>
        <w:t>The balance of risks to market expectations for the short term profits progression is more likely to be on the upside when the company has positive business momentum, and more likely to be on the downside when it has negative business momentum.</w:t>
      </w:r>
      <w:r>
        <w:br/>
      </w:r>
      <w:r>
        <w:rPr>
          <w:b/>
        </w:rPr>
        <w:br/>
      </w:r>
      <w:r>
        <w:t>For the avoidance of doubt, a balance of risks to market expectations that is on the upside means that favourable outcomes are considered more likely, not that the risks will be higher.</w:t>
      </w:r>
      <w:r>
        <w:rPr>
          <w:b/>
        </w:rPr>
        <w:br/>
      </w:r>
      <w:r>
        <w:rPr>
          <w:b/>
        </w:rPr>
        <w:br/>
      </w:r>
      <w:r>
        <w:t>The ‘balance of risks’ should be assessed as one of the following, and indicated on the one pager by the symbol shown in brackets:-</w:t>
      </w:r>
      <w:r>
        <w:br/>
      </w:r>
      <w:r>
        <w:br/>
        <w:t>Substantially on the upside</w:t>
      </w:r>
      <w:r>
        <w:tab/>
      </w:r>
      <w:r>
        <w:tab/>
        <w:t>(++)</w:t>
      </w:r>
      <w:r>
        <w:br/>
        <w:t>Slightly on the upside</w:t>
      </w:r>
      <w:r>
        <w:tab/>
      </w:r>
      <w:r>
        <w:tab/>
      </w:r>
      <w:r>
        <w:tab/>
        <w:t>(+)</w:t>
      </w:r>
      <w:r>
        <w:br/>
        <w:t>Neutral</w:t>
      </w:r>
      <w:r>
        <w:tab/>
      </w:r>
      <w:r>
        <w:tab/>
      </w:r>
      <w:r>
        <w:tab/>
      </w:r>
      <w:r>
        <w:tab/>
        <w:t>(N)</w:t>
      </w:r>
      <w:r>
        <w:br/>
        <w:t>Slightly on the downside</w:t>
      </w:r>
      <w:r>
        <w:tab/>
      </w:r>
      <w:r>
        <w:tab/>
        <w:t>(-)</w:t>
      </w:r>
      <w:r>
        <w:br/>
        <w:t>Substantially on the downside</w:t>
      </w:r>
      <w:r>
        <w:tab/>
        <w:t>(--)</w:t>
      </w:r>
      <w:r>
        <w:br/>
      </w:r>
      <w:r>
        <w:br/>
      </w:r>
    </w:p>
    <w:p w:rsidR="00000000" w:rsidRDefault="00000000">
      <w:pPr>
        <w:ind w:left="720"/>
      </w:pPr>
      <w:r>
        <w:lastRenderedPageBreak/>
        <w:t xml:space="preserve">How does valuation fit into this? </w:t>
      </w:r>
    </w:p>
    <w:p w:rsidR="00000000" w:rsidRDefault="00000000">
      <w:pPr>
        <w:ind w:left="720"/>
      </w:pPr>
    </w:p>
    <w:p w:rsidR="00000000" w:rsidRDefault="00000000">
      <w:pPr>
        <w:ind w:left="720"/>
      </w:pPr>
      <w:r>
        <w:t xml:space="preserve">A stock’s valuation is a key indicator of the market’s </w:t>
      </w:r>
      <w:proofErr w:type="gramStart"/>
      <w:r>
        <w:t>longer term</w:t>
      </w:r>
      <w:proofErr w:type="gramEnd"/>
      <w:r>
        <w:t xml:space="preserve"> expectations for the profit progression of the company.  It is therefore likely to play a role in the formation of the analyst’s view of the balance of risks to longer term market expectations.</w:t>
      </w:r>
      <w:r>
        <w:br/>
      </w:r>
    </w:p>
    <w:p w:rsidR="00000000" w:rsidRDefault="00000000">
      <w:pPr>
        <w:pStyle w:val="Heading1"/>
        <w:ind w:left="720"/>
        <w:rPr>
          <w:b w:val="0"/>
        </w:rPr>
      </w:pPr>
      <w:r>
        <w:rPr>
          <w:b w:val="0"/>
        </w:rPr>
        <w:t>How do macroeconomic factors fit into this?</w:t>
      </w:r>
    </w:p>
    <w:p w:rsidR="00000000" w:rsidRDefault="00000000"/>
    <w:p w:rsidR="00000000" w:rsidRDefault="00000000">
      <w:pPr>
        <w:pStyle w:val="BodyTextIndent"/>
        <w:ind w:left="720"/>
      </w:pPr>
      <w:r>
        <w:t>As a predominantly ‘bottom up’ house, macroeconomic factors are not normally the main drivers of our stock views.  The points below indicate where a macroeconomic input might be incorporated in forming the analyst’s view.</w:t>
      </w:r>
    </w:p>
    <w:p w:rsidR="00000000" w:rsidRDefault="00000000">
      <w:pPr>
        <w:pStyle w:val="BodyTextIndent"/>
      </w:pPr>
    </w:p>
    <w:p w:rsidR="00000000" w:rsidRDefault="00000000">
      <w:pPr>
        <w:pStyle w:val="BodyTextIndent"/>
        <w:numPr>
          <w:ilvl w:val="0"/>
          <w:numId w:val="30"/>
        </w:numPr>
        <w:tabs>
          <w:tab w:val="clear" w:pos="1080"/>
        </w:tabs>
      </w:pPr>
      <w:r>
        <w:t>The stock assessment should not be driven by differences the individual analyst may have from consensus in their view of the outlook for major macroeconomic variables.</w:t>
      </w:r>
      <w:r>
        <w:br/>
      </w:r>
    </w:p>
    <w:p w:rsidR="00000000" w:rsidRDefault="00000000">
      <w:pPr>
        <w:pStyle w:val="BodyTextIndent"/>
        <w:numPr>
          <w:ilvl w:val="0"/>
          <w:numId w:val="30"/>
        </w:numPr>
        <w:tabs>
          <w:tab w:val="clear" w:pos="1080"/>
        </w:tabs>
      </w:pPr>
      <w:r>
        <w:t>Evidence of substantial changes in the macroeconomic environment may affect the style fit, especially for business momentum.</w:t>
      </w:r>
      <w:r>
        <w:br/>
      </w:r>
    </w:p>
    <w:p w:rsidR="00000000" w:rsidRDefault="00000000">
      <w:pPr>
        <w:pStyle w:val="BodyTextIndent"/>
        <w:numPr>
          <w:ilvl w:val="0"/>
          <w:numId w:val="30"/>
        </w:numPr>
        <w:tabs>
          <w:tab w:val="clear" w:pos="1080"/>
        </w:tabs>
      </w:pPr>
      <w:r>
        <w:t>Judging the balance of risks to market expectations may involve an assessment of whether the stock price has been slow to adjust to any major changes in the macroeconomic environment.</w:t>
      </w:r>
    </w:p>
    <w:p w:rsidR="00000000" w:rsidRDefault="00000000"/>
    <w:p w:rsidR="00000000" w:rsidRDefault="00000000">
      <w:pPr>
        <w:pStyle w:val="Heading1"/>
        <w:numPr>
          <w:ilvl w:val="0"/>
          <w:numId w:val="20"/>
        </w:numPr>
        <w:rPr>
          <w:b w:val="0"/>
        </w:rPr>
      </w:pPr>
      <w:r>
        <w:rPr>
          <w:b w:val="0"/>
        </w:rPr>
        <w:t>The analyst’s assessment should summarise briefly how the assessment of the style fit was derived.</w:t>
      </w:r>
      <w:r>
        <w:rPr>
          <w:b w:val="0"/>
        </w:rPr>
        <w:br/>
      </w:r>
      <w:r>
        <w:rPr>
          <w:b w:val="0"/>
        </w:rPr>
        <w:br/>
        <w:t xml:space="preserve">The bulk of this section should focus on what has </w:t>
      </w:r>
      <w:proofErr w:type="gramStart"/>
      <w:r>
        <w:rPr>
          <w:b w:val="0"/>
        </w:rPr>
        <w:t>lead</w:t>
      </w:r>
      <w:proofErr w:type="gramEnd"/>
      <w:r>
        <w:rPr>
          <w:b w:val="0"/>
        </w:rPr>
        <w:t xml:space="preserve"> to the analyst’s view of the balance of risks to market expectations. </w:t>
      </w:r>
      <w:r>
        <w:rPr>
          <w:b w:val="0"/>
        </w:rPr>
        <w:br/>
      </w:r>
      <w:r>
        <w:rPr>
          <w:b w:val="0"/>
        </w:rPr>
        <w:br/>
        <w:t>There may also be a comment on future potential developments that could change the analyst’s view.</w:t>
      </w:r>
      <w:r>
        <w:rPr>
          <w:b w:val="0"/>
        </w:rPr>
        <w:br/>
      </w:r>
    </w:p>
    <w:p w:rsidR="00000000" w:rsidRDefault="00000000">
      <w:pPr>
        <w:pStyle w:val="Heading1"/>
        <w:numPr>
          <w:ilvl w:val="0"/>
          <w:numId w:val="20"/>
        </w:numPr>
        <w:tabs>
          <w:tab w:val="clear" w:pos="720"/>
        </w:tabs>
        <w:rPr>
          <w:b w:val="0"/>
        </w:rPr>
      </w:pPr>
      <w:r>
        <w:rPr>
          <w:b w:val="0"/>
        </w:rPr>
        <w:br w:type="page"/>
      </w:r>
      <w:r>
        <w:rPr>
          <w:b w:val="0"/>
        </w:rPr>
        <w:lastRenderedPageBreak/>
        <w:t>The current rating</w:t>
      </w:r>
      <w:r>
        <w:t xml:space="preserve"> </w:t>
      </w:r>
      <w:r>
        <w:rPr>
          <w:b w:val="0"/>
        </w:rPr>
        <w:t xml:space="preserve">should be based on the above assessment with the stock should be scored from 1 (extremely attractive) to 10 (extremely unattractive). </w:t>
      </w:r>
      <w:r>
        <w:rPr>
          <w:b w:val="0"/>
        </w:rPr>
        <w:br/>
      </w:r>
      <w:r>
        <w:rPr>
          <w:b w:val="0"/>
        </w:rPr>
        <w:br/>
        <w:t xml:space="preserve">The matrix for setting the ratings is shown </w:t>
      </w:r>
      <w:proofErr w:type="gramStart"/>
      <w:r>
        <w:rPr>
          <w:b w:val="0"/>
        </w:rPr>
        <w:t>below:-</w:t>
      </w:r>
      <w:proofErr w:type="gramEnd"/>
    </w:p>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443"/>
        <w:gridCol w:w="1559"/>
        <w:gridCol w:w="1276"/>
        <w:gridCol w:w="992"/>
        <w:gridCol w:w="1559"/>
        <w:gridCol w:w="1701"/>
      </w:tblGrid>
      <w:tr w:rsidR="00000000">
        <w:tblPrEx>
          <w:tblCellMar>
            <w:top w:w="0" w:type="dxa"/>
            <w:bottom w:w="0" w:type="dxa"/>
          </w:tblCellMar>
        </w:tblPrEx>
        <w:trPr>
          <w:cantSplit/>
        </w:trPr>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tc>
        <w:tc>
          <w:tcPr>
            <w:tcW w:w="7087" w:type="dxa"/>
            <w:gridSpan w:val="5"/>
            <w:tcBorders>
              <w:top w:val="nil"/>
              <w:left w:val="nil"/>
              <w:bottom w:val="nil"/>
              <w:right w:val="nil"/>
            </w:tcBorders>
          </w:tcPr>
          <w:p w:rsidR="00000000" w:rsidRDefault="00000000">
            <w:pPr>
              <w:jc w:val="center"/>
              <w:rPr>
                <w:b/>
              </w:rPr>
            </w:pPr>
            <w:r>
              <w:rPr>
                <w:b/>
              </w:rPr>
              <w:t>Balance of risks</w:t>
            </w:r>
            <w:r>
              <w:rPr>
                <w:b/>
              </w:rPr>
              <w:br/>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tc>
        <w:tc>
          <w:tcPr>
            <w:tcW w:w="1559" w:type="dxa"/>
            <w:tcBorders>
              <w:top w:val="nil"/>
              <w:left w:val="nil"/>
              <w:bottom w:val="nil"/>
              <w:right w:val="nil"/>
            </w:tcBorders>
          </w:tcPr>
          <w:p w:rsidR="00000000" w:rsidRDefault="00000000">
            <w:pPr>
              <w:jc w:val="center"/>
            </w:pPr>
            <w:r>
              <w:t>Substantially on the upside</w:t>
            </w:r>
          </w:p>
        </w:tc>
        <w:tc>
          <w:tcPr>
            <w:tcW w:w="1276" w:type="dxa"/>
            <w:tcBorders>
              <w:top w:val="nil"/>
              <w:left w:val="nil"/>
              <w:bottom w:val="nil"/>
              <w:right w:val="nil"/>
            </w:tcBorders>
          </w:tcPr>
          <w:p w:rsidR="00000000" w:rsidRDefault="00000000">
            <w:pPr>
              <w:jc w:val="center"/>
            </w:pPr>
            <w:r>
              <w:t xml:space="preserve">Slightly on </w:t>
            </w:r>
          </w:p>
          <w:p w:rsidR="00000000" w:rsidRDefault="00000000">
            <w:pPr>
              <w:jc w:val="center"/>
            </w:pPr>
            <w:r>
              <w:t>the upside</w:t>
            </w:r>
          </w:p>
        </w:tc>
        <w:tc>
          <w:tcPr>
            <w:tcW w:w="992" w:type="dxa"/>
            <w:tcBorders>
              <w:top w:val="nil"/>
              <w:left w:val="nil"/>
              <w:bottom w:val="nil"/>
              <w:right w:val="nil"/>
            </w:tcBorders>
          </w:tcPr>
          <w:p w:rsidR="00000000" w:rsidRDefault="00000000">
            <w:pPr>
              <w:jc w:val="center"/>
            </w:pPr>
            <w:r>
              <w:t>Neutral</w:t>
            </w:r>
          </w:p>
        </w:tc>
        <w:tc>
          <w:tcPr>
            <w:tcW w:w="1559" w:type="dxa"/>
            <w:tcBorders>
              <w:top w:val="nil"/>
              <w:left w:val="nil"/>
              <w:bottom w:val="nil"/>
              <w:right w:val="nil"/>
            </w:tcBorders>
          </w:tcPr>
          <w:p w:rsidR="00000000" w:rsidRDefault="00000000">
            <w:pPr>
              <w:jc w:val="center"/>
            </w:pPr>
            <w:r>
              <w:t>Slightly on</w:t>
            </w:r>
          </w:p>
          <w:p w:rsidR="00000000" w:rsidRDefault="00000000">
            <w:pPr>
              <w:jc w:val="center"/>
            </w:pPr>
            <w:r>
              <w:t>the downside</w:t>
            </w:r>
          </w:p>
          <w:p w:rsidR="00000000" w:rsidRDefault="00000000">
            <w:pPr>
              <w:jc w:val="center"/>
            </w:pPr>
          </w:p>
        </w:tc>
        <w:tc>
          <w:tcPr>
            <w:tcW w:w="1701" w:type="dxa"/>
            <w:tcBorders>
              <w:top w:val="nil"/>
              <w:left w:val="nil"/>
              <w:bottom w:val="nil"/>
              <w:right w:val="nil"/>
            </w:tcBorders>
          </w:tcPr>
          <w:p w:rsidR="00000000" w:rsidRDefault="00000000">
            <w:pPr>
              <w:ind w:right="-1053"/>
            </w:pPr>
            <w:r>
              <w:t xml:space="preserve">Substantially on </w:t>
            </w:r>
          </w:p>
          <w:p w:rsidR="00000000" w:rsidRDefault="00000000">
            <w:pPr>
              <w:ind w:right="-1053"/>
            </w:pPr>
            <w:r>
              <w:t>the downside</w:t>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r>
              <w:t>Very good</w:t>
            </w:r>
          </w:p>
        </w:tc>
        <w:tc>
          <w:tcPr>
            <w:tcW w:w="1559" w:type="dxa"/>
            <w:tcBorders>
              <w:top w:val="nil"/>
              <w:left w:val="nil"/>
              <w:bottom w:val="nil"/>
              <w:right w:val="nil"/>
            </w:tcBorders>
          </w:tcPr>
          <w:p w:rsidR="00000000" w:rsidRDefault="00000000">
            <w:pPr>
              <w:ind w:right="34"/>
              <w:jc w:val="center"/>
            </w:pPr>
            <w:r>
              <w:t>1</w:t>
            </w:r>
          </w:p>
        </w:tc>
        <w:tc>
          <w:tcPr>
            <w:tcW w:w="1276" w:type="dxa"/>
            <w:tcBorders>
              <w:top w:val="nil"/>
              <w:left w:val="nil"/>
              <w:bottom w:val="nil"/>
              <w:right w:val="nil"/>
            </w:tcBorders>
          </w:tcPr>
          <w:p w:rsidR="00000000" w:rsidRDefault="00000000">
            <w:pPr>
              <w:ind w:left="-392" w:right="-250" w:firstLine="142"/>
              <w:jc w:val="center"/>
            </w:pPr>
            <w:r>
              <w:t>2</w:t>
            </w:r>
          </w:p>
        </w:tc>
        <w:tc>
          <w:tcPr>
            <w:tcW w:w="992" w:type="dxa"/>
            <w:tcBorders>
              <w:top w:val="nil"/>
              <w:left w:val="nil"/>
              <w:bottom w:val="nil"/>
              <w:right w:val="nil"/>
            </w:tcBorders>
          </w:tcPr>
          <w:p w:rsidR="00000000" w:rsidRDefault="00000000">
            <w:pPr>
              <w:ind w:left="-392" w:right="317"/>
              <w:jc w:val="right"/>
            </w:pPr>
            <w:r>
              <w:t>3</w:t>
            </w:r>
          </w:p>
        </w:tc>
        <w:tc>
          <w:tcPr>
            <w:tcW w:w="1559" w:type="dxa"/>
            <w:tcBorders>
              <w:top w:val="nil"/>
              <w:left w:val="nil"/>
              <w:bottom w:val="nil"/>
              <w:right w:val="nil"/>
            </w:tcBorders>
          </w:tcPr>
          <w:p w:rsidR="00000000" w:rsidRDefault="00000000">
            <w:pPr>
              <w:ind w:right="33"/>
              <w:jc w:val="center"/>
            </w:pPr>
            <w:r>
              <w:t>4</w:t>
            </w:r>
          </w:p>
          <w:p w:rsidR="00000000" w:rsidRDefault="00000000">
            <w:pPr>
              <w:ind w:right="33"/>
              <w:jc w:val="center"/>
            </w:pPr>
          </w:p>
        </w:tc>
        <w:tc>
          <w:tcPr>
            <w:tcW w:w="1701" w:type="dxa"/>
            <w:tcBorders>
              <w:top w:val="nil"/>
              <w:left w:val="nil"/>
              <w:bottom w:val="nil"/>
              <w:right w:val="nil"/>
            </w:tcBorders>
          </w:tcPr>
          <w:p w:rsidR="00000000" w:rsidRDefault="00000000">
            <w:pPr>
              <w:ind w:right="175"/>
              <w:jc w:val="center"/>
            </w:pPr>
            <w:r>
              <w:t>5 or 6</w:t>
            </w:r>
          </w:p>
        </w:tc>
      </w:tr>
      <w:tr w:rsidR="00000000">
        <w:tblPrEx>
          <w:tblCellMar>
            <w:top w:w="0" w:type="dxa"/>
            <w:bottom w:w="0" w:type="dxa"/>
          </w:tblCellMar>
        </w:tblPrEx>
        <w:tc>
          <w:tcPr>
            <w:tcW w:w="1217" w:type="dxa"/>
            <w:tcBorders>
              <w:top w:val="nil"/>
              <w:left w:val="nil"/>
              <w:bottom w:val="nil"/>
              <w:right w:val="nil"/>
            </w:tcBorders>
          </w:tcPr>
          <w:p w:rsidR="00000000" w:rsidRDefault="00000000">
            <w:pPr>
              <w:rPr>
                <w:b/>
              </w:rPr>
            </w:pPr>
          </w:p>
        </w:tc>
        <w:tc>
          <w:tcPr>
            <w:tcW w:w="1443" w:type="dxa"/>
            <w:tcBorders>
              <w:top w:val="nil"/>
              <w:left w:val="nil"/>
              <w:bottom w:val="nil"/>
              <w:right w:val="nil"/>
            </w:tcBorders>
          </w:tcPr>
          <w:p w:rsidR="00000000" w:rsidRDefault="00000000">
            <w:r>
              <w:t>Good</w:t>
            </w:r>
          </w:p>
        </w:tc>
        <w:tc>
          <w:tcPr>
            <w:tcW w:w="1559" w:type="dxa"/>
            <w:tcBorders>
              <w:top w:val="nil"/>
              <w:left w:val="nil"/>
              <w:bottom w:val="nil"/>
              <w:right w:val="nil"/>
            </w:tcBorders>
          </w:tcPr>
          <w:p w:rsidR="00000000" w:rsidRDefault="00000000">
            <w:pPr>
              <w:ind w:right="34"/>
              <w:jc w:val="center"/>
            </w:pPr>
            <w:r>
              <w:t>2</w:t>
            </w:r>
          </w:p>
        </w:tc>
        <w:tc>
          <w:tcPr>
            <w:tcW w:w="1276" w:type="dxa"/>
            <w:tcBorders>
              <w:top w:val="nil"/>
              <w:left w:val="nil"/>
              <w:bottom w:val="nil"/>
              <w:right w:val="nil"/>
            </w:tcBorders>
          </w:tcPr>
          <w:p w:rsidR="00000000" w:rsidRDefault="00000000">
            <w:pPr>
              <w:ind w:left="-392" w:right="-250" w:firstLine="142"/>
              <w:jc w:val="center"/>
            </w:pPr>
            <w:r>
              <w:t>3</w:t>
            </w:r>
          </w:p>
        </w:tc>
        <w:tc>
          <w:tcPr>
            <w:tcW w:w="992" w:type="dxa"/>
            <w:tcBorders>
              <w:top w:val="nil"/>
              <w:left w:val="nil"/>
              <w:bottom w:val="nil"/>
              <w:right w:val="nil"/>
            </w:tcBorders>
          </w:tcPr>
          <w:p w:rsidR="00000000" w:rsidRDefault="00000000">
            <w:pPr>
              <w:ind w:left="-392" w:right="317"/>
              <w:jc w:val="right"/>
            </w:pPr>
            <w:r>
              <w:t>4</w:t>
            </w:r>
          </w:p>
        </w:tc>
        <w:tc>
          <w:tcPr>
            <w:tcW w:w="1559" w:type="dxa"/>
            <w:tcBorders>
              <w:top w:val="nil"/>
              <w:left w:val="nil"/>
              <w:bottom w:val="nil"/>
              <w:right w:val="nil"/>
            </w:tcBorders>
          </w:tcPr>
          <w:p w:rsidR="00000000" w:rsidRDefault="00000000">
            <w:pPr>
              <w:ind w:right="33"/>
              <w:jc w:val="center"/>
            </w:pPr>
            <w:r>
              <w:t>5 or 6</w:t>
            </w:r>
          </w:p>
          <w:p w:rsidR="00000000" w:rsidRDefault="00000000">
            <w:pPr>
              <w:ind w:right="33"/>
              <w:jc w:val="center"/>
            </w:pPr>
          </w:p>
        </w:tc>
        <w:tc>
          <w:tcPr>
            <w:tcW w:w="1701" w:type="dxa"/>
            <w:tcBorders>
              <w:top w:val="nil"/>
              <w:left w:val="nil"/>
              <w:bottom w:val="nil"/>
              <w:right w:val="nil"/>
            </w:tcBorders>
          </w:tcPr>
          <w:p w:rsidR="00000000" w:rsidRDefault="00000000">
            <w:pPr>
              <w:ind w:right="175"/>
              <w:jc w:val="center"/>
            </w:pPr>
            <w:r>
              <w:t>7</w:t>
            </w:r>
          </w:p>
        </w:tc>
      </w:tr>
      <w:tr w:rsidR="00000000">
        <w:tblPrEx>
          <w:tblCellMar>
            <w:top w:w="0" w:type="dxa"/>
            <w:bottom w:w="0" w:type="dxa"/>
          </w:tblCellMar>
        </w:tblPrEx>
        <w:tc>
          <w:tcPr>
            <w:tcW w:w="1217" w:type="dxa"/>
            <w:tcBorders>
              <w:top w:val="nil"/>
              <w:left w:val="nil"/>
              <w:bottom w:val="nil"/>
              <w:right w:val="nil"/>
            </w:tcBorders>
          </w:tcPr>
          <w:p w:rsidR="00000000" w:rsidRDefault="00000000">
            <w:pPr>
              <w:rPr>
                <w:b/>
              </w:rPr>
            </w:pPr>
            <w:r>
              <w:rPr>
                <w:b/>
              </w:rPr>
              <w:t>Style Fit</w:t>
            </w:r>
          </w:p>
        </w:tc>
        <w:tc>
          <w:tcPr>
            <w:tcW w:w="1443" w:type="dxa"/>
            <w:tcBorders>
              <w:top w:val="nil"/>
              <w:left w:val="nil"/>
              <w:bottom w:val="nil"/>
              <w:right w:val="nil"/>
            </w:tcBorders>
          </w:tcPr>
          <w:p w:rsidR="00000000" w:rsidRDefault="00000000">
            <w:r>
              <w:t>Average</w:t>
            </w:r>
          </w:p>
        </w:tc>
        <w:tc>
          <w:tcPr>
            <w:tcW w:w="1559" w:type="dxa"/>
            <w:tcBorders>
              <w:top w:val="nil"/>
              <w:left w:val="nil"/>
              <w:bottom w:val="nil"/>
              <w:right w:val="nil"/>
            </w:tcBorders>
          </w:tcPr>
          <w:p w:rsidR="00000000" w:rsidRDefault="00000000">
            <w:pPr>
              <w:ind w:right="34"/>
              <w:jc w:val="center"/>
            </w:pPr>
            <w:r>
              <w:t>3</w:t>
            </w:r>
          </w:p>
        </w:tc>
        <w:tc>
          <w:tcPr>
            <w:tcW w:w="1276" w:type="dxa"/>
            <w:tcBorders>
              <w:top w:val="nil"/>
              <w:left w:val="nil"/>
              <w:bottom w:val="nil"/>
              <w:right w:val="nil"/>
            </w:tcBorders>
          </w:tcPr>
          <w:p w:rsidR="00000000" w:rsidRDefault="00000000">
            <w:pPr>
              <w:ind w:left="-392" w:right="-250" w:firstLine="142"/>
              <w:jc w:val="center"/>
            </w:pPr>
            <w:r>
              <w:t>4</w:t>
            </w:r>
          </w:p>
        </w:tc>
        <w:tc>
          <w:tcPr>
            <w:tcW w:w="992" w:type="dxa"/>
            <w:tcBorders>
              <w:top w:val="nil"/>
              <w:left w:val="nil"/>
              <w:bottom w:val="nil"/>
              <w:right w:val="nil"/>
            </w:tcBorders>
          </w:tcPr>
          <w:p w:rsidR="00000000" w:rsidRDefault="00000000">
            <w:pPr>
              <w:ind w:left="-250" w:right="-250"/>
              <w:jc w:val="center"/>
            </w:pPr>
            <w:r>
              <w:t>5 or 6</w:t>
            </w:r>
          </w:p>
        </w:tc>
        <w:tc>
          <w:tcPr>
            <w:tcW w:w="1559" w:type="dxa"/>
            <w:tcBorders>
              <w:top w:val="nil"/>
              <w:left w:val="nil"/>
              <w:bottom w:val="nil"/>
              <w:right w:val="nil"/>
            </w:tcBorders>
          </w:tcPr>
          <w:p w:rsidR="00000000" w:rsidRDefault="00000000">
            <w:pPr>
              <w:ind w:right="33"/>
              <w:jc w:val="center"/>
            </w:pPr>
            <w:r>
              <w:t>7</w:t>
            </w:r>
          </w:p>
          <w:p w:rsidR="00000000" w:rsidRDefault="00000000">
            <w:pPr>
              <w:ind w:right="33"/>
              <w:jc w:val="center"/>
            </w:pPr>
          </w:p>
        </w:tc>
        <w:tc>
          <w:tcPr>
            <w:tcW w:w="1701" w:type="dxa"/>
            <w:tcBorders>
              <w:top w:val="nil"/>
              <w:left w:val="nil"/>
              <w:bottom w:val="nil"/>
              <w:right w:val="nil"/>
            </w:tcBorders>
          </w:tcPr>
          <w:p w:rsidR="00000000" w:rsidRDefault="00000000">
            <w:pPr>
              <w:ind w:right="175"/>
              <w:jc w:val="center"/>
            </w:pPr>
            <w:r>
              <w:t>8</w:t>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r>
              <w:t>Poor</w:t>
            </w:r>
          </w:p>
        </w:tc>
        <w:tc>
          <w:tcPr>
            <w:tcW w:w="1559" w:type="dxa"/>
            <w:tcBorders>
              <w:top w:val="nil"/>
              <w:left w:val="nil"/>
              <w:bottom w:val="nil"/>
              <w:right w:val="nil"/>
            </w:tcBorders>
          </w:tcPr>
          <w:p w:rsidR="00000000" w:rsidRDefault="00000000">
            <w:pPr>
              <w:ind w:right="34"/>
              <w:jc w:val="center"/>
            </w:pPr>
            <w:r>
              <w:t>4</w:t>
            </w:r>
          </w:p>
        </w:tc>
        <w:tc>
          <w:tcPr>
            <w:tcW w:w="1276" w:type="dxa"/>
            <w:tcBorders>
              <w:top w:val="nil"/>
              <w:left w:val="nil"/>
              <w:bottom w:val="nil"/>
              <w:right w:val="nil"/>
            </w:tcBorders>
          </w:tcPr>
          <w:p w:rsidR="00000000" w:rsidRDefault="00000000">
            <w:pPr>
              <w:ind w:left="-392" w:right="-250" w:firstLine="142"/>
              <w:jc w:val="center"/>
            </w:pPr>
            <w:r>
              <w:t>5 or 6</w:t>
            </w:r>
          </w:p>
        </w:tc>
        <w:tc>
          <w:tcPr>
            <w:tcW w:w="992" w:type="dxa"/>
            <w:tcBorders>
              <w:top w:val="nil"/>
              <w:left w:val="nil"/>
              <w:bottom w:val="nil"/>
              <w:right w:val="nil"/>
            </w:tcBorders>
          </w:tcPr>
          <w:p w:rsidR="00000000" w:rsidRDefault="00000000">
            <w:pPr>
              <w:ind w:left="-392" w:right="317"/>
              <w:jc w:val="right"/>
            </w:pPr>
            <w:r>
              <w:t>7</w:t>
            </w:r>
          </w:p>
          <w:p w:rsidR="00000000" w:rsidRDefault="00000000">
            <w:pPr>
              <w:ind w:left="-392" w:right="317"/>
              <w:jc w:val="right"/>
            </w:pPr>
          </w:p>
        </w:tc>
        <w:tc>
          <w:tcPr>
            <w:tcW w:w="1559" w:type="dxa"/>
            <w:tcBorders>
              <w:top w:val="nil"/>
              <w:left w:val="nil"/>
              <w:bottom w:val="nil"/>
              <w:right w:val="nil"/>
            </w:tcBorders>
          </w:tcPr>
          <w:p w:rsidR="00000000" w:rsidRDefault="00000000">
            <w:pPr>
              <w:ind w:right="33"/>
              <w:jc w:val="center"/>
            </w:pPr>
            <w:r>
              <w:t>8</w:t>
            </w:r>
          </w:p>
        </w:tc>
        <w:tc>
          <w:tcPr>
            <w:tcW w:w="1701" w:type="dxa"/>
            <w:tcBorders>
              <w:top w:val="nil"/>
              <w:left w:val="nil"/>
              <w:bottom w:val="nil"/>
              <w:right w:val="nil"/>
            </w:tcBorders>
          </w:tcPr>
          <w:p w:rsidR="00000000" w:rsidRDefault="00000000">
            <w:pPr>
              <w:ind w:right="175"/>
              <w:jc w:val="center"/>
            </w:pPr>
            <w:r>
              <w:t>9</w:t>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r>
              <w:t>Very poor</w:t>
            </w:r>
          </w:p>
        </w:tc>
        <w:tc>
          <w:tcPr>
            <w:tcW w:w="1559" w:type="dxa"/>
            <w:tcBorders>
              <w:top w:val="nil"/>
              <w:left w:val="nil"/>
              <w:bottom w:val="nil"/>
              <w:right w:val="nil"/>
            </w:tcBorders>
          </w:tcPr>
          <w:p w:rsidR="00000000" w:rsidRDefault="00000000">
            <w:pPr>
              <w:ind w:right="34"/>
              <w:jc w:val="center"/>
            </w:pPr>
            <w:r>
              <w:t>5 or 6</w:t>
            </w:r>
          </w:p>
        </w:tc>
        <w:tc>
          <w:tcPr>
            <w:tcW w:w="1276" w:type="dxa"/>
            <w:tcBorders>
              <w:top w:val="nil"/>
              <w:left w:val="nil"/>
              <w:bottom w:val="nil"/>
              <w:right w:val="nil"/>
            </w:tcBorders>
          </w:tcPr>
          <w:p w:rsidR="00000000" w:rsidRDefault="00000000">
            <w:pPr>
              <w:ind w:left="-392" w:right="-250" w:firstLine="142"/>
              <w:jc w:val="center"/>
            </w:pPr>
            <w:r>
              <w:t>7</w:t>
            </w:r>
          </w:p>
        </w:tc>
        <w:tc>
          <w:tcPr>
            <w:tcW w:w="992" w:type="dxa"/>
            <w:tcBorders>
              <w:top w:val="nil"/>
              <w:left w:val="nil"/>
              <w:bottom w:val="nil"/>
              <w:right w:val="nil"/>
            </w:tcBorders>
          </w:tcPr>
          <w:p w:rsidR="00000000" w:rsidRDefault="00000000">
            <w:pPr>
              <w:ind w:left="-392" w:right="317"/>
              <w:jc w:val="right"/>
            </w:pPr>
            <w:r>
              <w:t>8</w:t>
            </w:r>
          </w:p>
        </w:tc>
        <w:tc>
          <w:tcPr>
            <w:tcW w:w="1559" w:type="dxa"/>
            <w:tcBorders>
              <w:top w:val="nil"/>
              <w:left w:val="nil"/>
              <w:bottom w:val="nil"/>
              <w:right w:val="nil"/>
            </w:tcBorders>
          </w:tcPr>
          <w:p w:rsidR="00000000" w:rsidRDefault="00000000">
            <w:pPr>
              <w:ind w:right="33"/>
              <w:jc w:val="center"/>
            </w:pPr>
            <w:r>
              <w:t>9</w:t>
            </w:r>
          </w:p>
        </w:tc>
        <w:tc>
          <w:tcPr>
            <w:tcW w:w="1701" w:type="dxa"/>
            <w:tcBorders>
              <w:top w:val="nil"/>
              <w:left w:val="nil"/>
              <w:bottom w:val="nil"/>
              <w:right w:val="nil"/>
            </w:tcBorders>
          </w:tcPr>
          <w:p w:rsidR="00000000" w:rsidRDefault="00000000">
            <w:pPr>
              <w:ind w:right="175"/>
              <w:jc w:val="center"/>
            </w:pPr>
            <w:r>
              <w:t>10</w:t>
            </w:r>
          </w:p>
        </w:tc>
      </w:tr>
    </w:tbl>
    <w:p w:rsidR="00000000" w:rsidRDefault="00000000"/>
    <w:p w:rsidR="00000000" w:rsidRDefault="00000000">
      <w:pPr>
        <w:pStyle w:val="Heading1"/>
        <w:numPr>
          <w:ilvl w:val="0"/>
          <w:numId w:val="20"/>
        </w:numPr>
        <w:rPr>
          <w:b w:val="0"/>
        </w:rPr>
      </w:pPr>
      <w:r>
        <w:rPr>
          <w:b w:val="0"/>
        </w:rPr>
        <w:t xml:space="preserve">Stocks should be placed into one of four FIS stock categories according to the answer to two </w:t>
      </w:r>
      <w:proofErr w:type="gramStart"/>
      <w:r>
        <w:rPr>
          <w:b w:val="0"/>
        </w:rPr>
        <w:t>questions:-</w:t>
      </w:r>
      <w:proofErr w:type="gramEnd"/>
    </w:p>
    <w:p w:rsidR="00000000" w:rsidRDefault="00000000"/>
    <w:p w:rsidR="00000000" w:rsidRDefault="00000000">
      <w:pPr>
        <w:numPr>
          <w:ilvl w:val="0"/>
          <w:numId w:val="17"/>
        </w:numPr>
      </w:pPr>
      <w:r>
        <w:t>Is the secular growth in earnings per share expected to be above or below average in the future compared to the relevant research universe?</w:t>
      </w:r>
      <w:r>
        <w:br/>
      </w:r>
    </w:p>
    <w:p w:rsidR="00000000" w:rsidRDefault="00000000">
      <w:pPr>
        <w:numPr>
          <w:ilvl w:val="0"/>
          <w:numId w:val="17"/>
        </w:numPr>
      </w:pPr>
      <w:r>
        <w:t>Is the progression in earnings per share in the future expected to show above or below average consistency (stability) compared to the relevant research universe?</w:t>
      </w:r>
    </w:p>
    <w:p w:rsidR="00000000" w:rsidRDefault="00000000">
      <w:pPr>
        <w:pStyle w:val="BodyTextIndent2"/>
      </w:pPr>
      <w:r>
        <w:br/>
        <w:t>The assessment should be made based on consensus expectations for the future, rather than any non-consensus views of the individual analyst.</w:t>
      </w:r>
    </w:p>
    <w:p w:rsidR="00000000" w:rsidRDefault="00000000"/>
    <w:tbl>
      <w:tblPr>
        <w:tblW w:w="0" w:type="auto"/>
        <w:tblInd w:w="675" w:type="dxa"/>
        <w:tblLayout w:type="fixed"/>
        <w:tblLook w:val="0000" w:firstRow="0" w:lastRow="0" w:firstColumn="0" w:lastColumn="0" w:noHBand="0" w:noVBand="0"/>
      </w:tblPr>
      <w:tblGrid>
        <w:gridCol w:w="2835"/>
        <w:gridCol w:w="2977"/>
        <w:gridCol w:w="2977"/>
      </w:tblGrid>
      <w:tr w:rsidR="00000000">
        <w:tblPrEx>
          <w:tblCellMar>
            <w:top w:w="0" w:type="dxa"/>
            <w:bottom w:w="0" w:type="dxa"/>
          </w:tblCellMar>
        </w:tblPrEx>
        <w:tc>
          <w:tcPr>
            <w:tcW w:w="2835" w:type="dxa"/>
          </w:tcPr>
          <w:p w:rsidR="00000000" w:rsidRDefault="00000000">
            <w:pPr>
              <w:rPr>
                <w:b/>
              </w:rPr>
            </w:pPr>
            <w:r>
              <w:rPr>
                <w:b/>
              </w:rPr>
              <w:t>FIS Stock Category</w:t>
            </w:r>
          </w:p>
          <w:p w:rsidR="00000000" w:rsidRDefault="00000000">
            <w:pPr>
              <w:rPr>
                <w:b/>
              </w:rPr>
            </w:pPr>
          </w:p>
        </w:tc>
        <w:tc>
          <w:tcPr>
            <w:tcW w:w="2977" w:type="dxa"/>
          </w:tcPr>
          <w:p w:rsidR="00000000" w:rsidRDefault="00000000">
            <w:pPr>
              <w:pStyle w:val="Heading1"/>
            </w:pPr>
            <w:r>
              <w:t>Growth</w:t>
            </w:r>
          </w:p>
        </w:tc>
        <w:tc>
          <w:tcPr>
            <w:tcW w:w="2977" w:type="dxa"/>
          </w:tcPr>
          <w:p w:rsidR="00000000" w:rsidRDefault="00000000">
            <w:pPr>
              <w:rPr>
                <w:b/>
              </w:rPr>
            </w:pPr>
            <w:r>
              <w:rPr>
                <w:b/>
              </w:rPr>
              <w:t>Consistency</w:t>
            </w:r>
          </w:p>
        </w:tc>
      </w:tr>
      <w:tr w:rsidR="00000000">
        <w:tblPrEx>
          <w:tblCellMar>
            <w:top w:w="0" w:type="dxa"/>
            <w:bottom w:w="0" w:type="dxa"/>
          </w:tblCellMar>
        </w:tblPrEx>
        <w:tc>
          <w:tcPr>
            <w:tcW w:w="2835" w:type="dxa"/>
          </w:tcPr>
          <w:p w:rsidR="00000000" w:rsidRDefault="00000000">
            <w:r>
              <w:t>Growth</w:t>
            </w:r>
          </w:p>
          <w:p w:rsidR="00000000" w:rsidRDefault="00000000"/>
        </w:tc>
        <w:tc>
          <w:tcPr>
            <w:tcW w:w="2977" w:type="dxa"/>
          </w:tcPr>
          <w:p w:rsidR="00000000" w:rsidRDefault="00000000">
            <w:r>
              <w:t>Above average</w:t>
            </w:r>
          </w:p>
        </w:tc>
        <w:tc>
          <w:tcPr>
            <w:tcW w:w="2977" w:type="dxa"/>
          </w:tcPr>
          <w:p w:rsidR="00000000" w:rsidRDefault="00000000">
            <w:r>
              <w:t>Above average</w:t>
            </w:r>
          </w:p>
        </w:tc>
      </w:tr>
      <w:tr w:rsidR="00000000">
        <w:tblPrEx>
          <w:tblCellMar>
            <w:top w:w="0" w:type="dxa"/>
            <w:bottom w:w="0" w:type="dxa"/>
          </w:tblCellMar>
        </w:tblPrEx>
        <w:tc>
          <w:tcPr>
            <w:tcW w:w="2835" w:type="dxa"/>
          </w:tcPr>
          <w:p w:rsidR="00000000" w:rsidRDefault="00000000">
            <w:r>
              <w:t>Cyclical/Volatile Growth</w:t>
            </w:r>
          </w:p>
          <w:p w:rsidR="00000000" w:rsidRDefault="00000000"/>
        </w:tc>
        <w:tc>
          <w:tcPr>
            <w:tcW w:w="2977" w:type="dxa"/>
          </w:tcPr>
          <w:p w:rsidR="00000000" w:rsidRDefault="00000000">
            <w:r>
              <w:t>Above average</w:t>
            </w:r>
          </w:p>
        </w:tc>
        <w:tc>
          <w:tcPr>
            <w:tcW w:w="2977" w:type="dxa"/>
          </w:tcPr>
          <w:p w:rsidR="00000000" w:rsidRDefault="00000000">
            <w:r>
              <w:t>Average or below average</w:t>
            </w:r>
          </w:p>
          <w:p w:rsidR="00000000" w:rsidRDefault="00000000"/>
        </w:tc>
      </w:tr>
      <w:tr w:rsidR="00000000">
        <w:tblPrEx>
          <w:tblCellMar>
            <w:top w:w="0" w:type="dxa"/>
            <w:bottom w:w="0" w:type="dxa"/>
          </w:tblCellMar>
        </w:tblPrEx>
        <w:tc>
          <w:tcPr>
            <w:tcW w:w="2835" w:type="dxa"/>
          </w:tcPr>
          <w:p w:rsidR="00000000" w:rsidRDefault="00000000">
            <w:r>
              <w:t>Defensive</w:t>
            </w:r>
          </w:p>
          <w:p w:rsidR="00000000" w:rsidRDefault="00000000"/>
        </w:tc>
        <w:tc>
          <w:tcPr>
            <w:tcW w:w="2977" w:type="dxa"/>
          </w:tcPr>
          <w:p w:rsidR="00000000" w:rsidRDefault="00000000">
            <w:r>
              <w:t>Average or below average</w:t>
            </w:r>
          </w:p>
          <w:p w:rsidR="00000000" w:rsidRDefault="00000000"/>
        </w:tc>
        <w:tc>
          <w:tcPr>
            <w:tcW w:w="2977" w:type="dxa"/>
          </w:tcPr>
          <w:p w:rsidR="00000000" w:rsidRDefault="00000000">
            <w:r>
              <w:t>Above average</w:t>
            </w:r>
          </w:p>
        </w:tc>
      </w:tr>
      <w:tr w:rsidR="00000000">
        <w:tblPrEx>
          <w:tblCellMar>
            <w:top w:w="0" w:type="dxa"/>
            <w:bottom w:w="0" w:type="dxa"/>
          </w:tblCellMar>
        </w:tblPrEx>
        <w:tc>
          <w:tcPr>
            <w:tcW w:w="2835" w:type="dxa"/>
          </w:tcPr>
          <w:p w:rsidR="00000000" w:rsidRDefault="00000000">
            <w:r>
              <w:t>Other</w:t>
            </w:r>
          </w:p>
        </w:tc>
        <w:tc>
          <w:tcPr>
            <w:tcW w:w="2977" w:type="dxa"/>
          </w:tcPr>
          <w:p w:rsidR="00000000" w:rsidRDefault="00000000">
            <w:r>
              <w:t>Average or below average</w:t>
            </w:r>
          </w:p>
          <w:p w:rsidR="00000000" w:rsidRDefault="00000000"/>
        </w:tc>
        <w:tc>
          <w:tcPr>
            <w:tcW w:w="2977" w:type="dxa"/>
          </w:tcPr>
          <w:p w:rsidR="00000000" w:rsidRDefault="00000000">
            <w:r>
              <w:t>Average or below average</w:t>
            </w:r>
          </w:p>
          <w:p w:rsidR="00000000" w:rsidRDefault="00000000"/>
        </w:tc>
      </w:tr>
    </w:tbl>
    <w:p w:rsidR="00000000" w:rsidRDefault="00000000"/>
    <w:p w:rsidR="00000000" w:rsidRDefault="00000000">
      <w:pPr>
        <w:numPr>
          <w:ilvl w:val="0"/>
          <w:numId w:val="21"/>
        </w:numPr>
      </w:pPr>
      <w:r>
        <w:t>This should be the price just before the one pager is frozen and issued.</w:t>
      </w:r>
      <w:r>
        <w:br/>
      </w:r>
    </w:p>
    <w:p w:rsidR="00000000" w:rsidRDefault="00000000">
      <w:pPr>
        <w:numPr>
          <w:ilvl w:val="0"/>
          <w:numId w:val="21"/>
        </w:numPr>
      </w:pPr>
      <w:r>
        <w:t>This should describe the next important event for the company and/or the next expected catalyst for a possible change in rating.</w:t>
      </w:r>
      <w:r>
        <w:br/>
      </w:r>
    </w:p>
    <w:p w:rsidR="00000000" w:rsidRDefault="00000000">
      <w:pPr>
        <w:numPr>
          <w:ilvl w:val="0"/>
          <w:numId w:val="21"/>
        </w:numPr>
      </w:pPr>
      <w:r>
        <w:br w:type="page"/>
      </w:r>
      <w:r>
        <w:lastRenderedPageBreak/>
        <w:t xml:space="preserve">These will either be consensus figures, or the forecast of the analyst.  Where it is the FIS analyst’s forecast an asterisk should be used to denote this.  Where the company makes no profits, a </w:t>
      </w:r>
      <w:proofErr w:type="gramStart"/>
      <w:r>
        <w:t>sales based</w:t>
      </w:r>
      <w:proofErr w:type="gramEnd"/>
      <w:r>
        <w:t xml:space="preserve"> figure may be considered more useful.  If this is used, it should be clearly indicated on the note.</w:t>
      </w:r>
      <w:r>
        <w:br/>
      </w:r>
      <w:r>
        <w:br/>
        <w:t xml:space="preserve">The FIS analyst may </w:t>
      </w:r>
      <w:proofErr w:type="gramStart"/>
      <w:r>
        <w:t>chose</w:t>
      </w:r>
      <w:proofErr w:type="gramEnd"/>
      <w:r>
        <w:t xml:space="preserve"> to use their own forecast where they felt that they could improve on consensus.  As examples, the consensus number may be felt to be inappropriate where there are some sell side analysts that have very old forecasts, or where forecasts are felt to be very optimistic.</w:t>
      </w:r>
      <w:r>
        <w:br/>
      </w:r>
      <w:r>
        <w:br/>
        <w:t xml:space="preserve">A FIS analyst’s estimate is likely to be formed with reference to sell side estimates or models.  </w:t>
      </w:r>
      <w:r>
        <w:br/>
      </w:r>
    </w:p>
    <w:p w:rsidR="00000000" w:rsidRDefault="00000000">
      <w:pPr>
        <w:numPr>
          <w:ilvl w:val="0"/>
          <w:numId w:val="21"/>
        </w:numPr>
      </w:pPr>
      <w:r>
        <w:t>FY+1 refers to the current financial year for the company in question.</w:t>
      </w:r>
      <w:r>
        <w:br/>
      </w:r>
    </w:p>
    <w:p w:rsidR="00000000" w:rsidRDefault="00000000">
      <w:pPr>
        <w:numPr>
          <w:ilvl w:val="0"/>
          <w:numId w:val="21"/>
        </w:numPr>
      </w:pPr>
      <w:r>
        <w:t>FY+3 figures will sometimes be unavailable, and can be left blank if this is the case.</w:t>
      </w:r>
      <w:r>
        <w:br/>
      </w:r>
    </w:p>
    <w:p w:rsidR="00000000" w:rsidRDefault="00000000">
      <w:pPr>
        <w:numPr>
          <w:ilvl w:val="0"/>
          <w:numId w:val="21"/>
        </w:numPr>
      </w:pPr>
      <w:r>
        <w:t xml:space="preserve">The ‘growth’ section is looking primarily at the expected ‘long term’ growth rate of the appropriate measure of profit per share. The </w:t>
      </w:r>
      <w:proofErr w:type="gramStart"/>
      <w:r>
        <w:t>long term</w:t>
      </w:r>
      <w:proofErr w:type="gramEnd"/>
      <w:r>
        <w:t xml:space="preserve"> growth rate is a prospective one (typically looking 5 years forward) and should look through any cyclical influences or recovery element.  The expected long term growth rate should be at least 10%p.a. to be considered meaningfully ‘above average’.  </w:t>
      </w:r>
      <w:r>
        <w:br/>
      </w:r>
      <w:r>
        <w:br/>
        <w:t xml:space="preserve">An assessment of the </w:t>
      </w:r>
      <w:proofErr w:type="gramStart"/>
      <w:r>
        <w:t>long term</w:t>
      </w:r>
      <w:proofErr w:type="gramEnd"/>
      <w:r>
        <w:t xml:space="preserve"> growth prospects will generally include considering the factors below. The text in the one pager should focus on the more important ones for the company concerned.</w:t>
      </w:r>
    </w:p>
    <w:p w:rsidR="00000000" w:rsidRDefault="00000000"/>
    <w:p w:rsidR="00000000" w:rsidRDefault="00000000">
      <w:pPr>
        <w:numPr>
          <w:ilvl w:val="0"/>
          <w:numId w:val="25"/>
        </w:numPr>
      </w:pPr>
      <w:r>
        <w:t>Long term growth prospects for the industry</w:t>
      </w:r>
    </w:p>
    <w:p w:rsidR="00000000" w:rsidRDefault="00000000">
      <w:pPr>
        <w:numPr>
          <w:ilvl w:val="0"/>
          <w:numId w:val="26"/>
        </w:numPr>
      </w:pPr>
      <w:r>
        <w:t>Competitive position within industry</w:t>
      </w:r>
    </w:p>
    <w:p w:rsidR="00000000" w:rsidRDefault="00000000">
      <w:pPr>
        <w:numPr>
          <w:ilvl w:val="0"/>
          <w:numId w:val="26"/>
        </w:numPr>
      </w:pPr>
      <w:r>
        <w:t>Management’s ability to deliver future growth</w:t>
      </w:r>
    </w:p>
    <w:p w:rsidR="00000000" w:rsidRDefault="00000000">
      <w:pPr>
        <w:numPr>
          <w:ilvl w:val="0"/>
          <w:numId w:val="26"/>
        </w:numPr>
      </w:pPr>
      <w:r>
        <w:t>Historic record of generating profits growth and shareholder value</w:t>
      </w:r>
    </w:p>
    <w:p w:rsidR="00000000" w:rsidRDefault="00000000">
      <w:pPr>
        <w:numPr>
          <w:ilvl w:val="0"/>
          <w:numId w:val="26"/>
        </w:numPr>
      </w:pPr>
      <w:r>
        <w:t>Expected organic sales growth</w:t>
      </w:r>
    </w:p>
    <w:p w:rsidR="00000000" w:rsidRDefault="00000000">
      <w:pPr>
        <w:numPr>
          <w:ilvl w:val="0"/>
          <w:numId w:val="26"/>
        </w:numPr>
      </w:pPr>
      <w:r>
        <w:t>Scope for margin expansion</w:t>
      </w:r>
    </w:p>
    <w:p w:rsidR="00000000" w:rsidRDefault="00000000"/>
    <w:p w:rsidR="00000000" w:rsidRDefault="00000000">
      <w:pPr>
        <w:pStyle w:val="Heading1"/>
        <w:numPr>
          <w:ilvl w:val="0"/>
          <w:numId w:val="27"/>
        </w:numPr>
        <w:rPr>
          <w:b w:val="0"/>
        </w:rPr>
      </w:pPr>
      <w:r>
        <w:rPr>
          <w:b w:val="0"/>
        </w:rPr>
        <w:t xml:space="preserve">The ‘business momentum’ section focuses on whether the prospects for the company are currently improving or deteriorating.  It will generally focus on developments over the last six months and the expected developments over the next six months.  Although the focus is on developments over a relatively short time period, it is the relevance of these developments to the company’s longer term prospects that is key.  Are they the start of a significant trend, or are they just short term ‘noise’?  </w:t>
      </w:r>
      <w:r>
        <w:rPr>
          <w:b w:val="0"/>
        </w:rPr>
        <w:br/>
      </w:r>
      <w:r>
        <w:rPr>
          <w:b w:val="0"/>
        </w:rPr>
        <w:br/>
        <w:t>An assessment of the business momentum will generally include the factors below.  Only the more important ones should be covered in the text.</w:t>
      </w:r>
    </w:p>
    <w:p w:rsidR="00000000" w:rsidRDefault="00000000"/>
    <w:p w:rsidR="00000000" w:rsidRDefault="00000000">
      <w:pPr>
        <w:numPr>
          <w:ilvl w:val="0"/>
          <w:numId w:val="28"/>
        </w:numPr>
      </w:pPr>
      <w:r>
        <w:t>Changes in industry prospects</w:t>
      </w:r>
    </w:p>
    <w:p w:rsidR="00000000" w:rsidRDefault="00000000">
      <w:pPr>
        <w:numPr>
          <w:ilvl w:val="0"/>
          <w:numId w:val="28"/>
        </w:numPr>
      </w:pPr>
      <w:r>
        <w:t>Changes in competitive position</w:t>
      </w:r>
    </w:p>
    <w:p w:rsidR="00000000" w:rsidRDefault="00000000">
      <w:pPr>
        <w:numPr>
          <w:ilvl w:val="0"/>
          <w:numId w:val="28"/>
        </w:numPr>
      </w:pPr>
      <w:r>
        <w:t>Effect of changes in the macroeconomic environment</w:t>
      </w:r>
    </w:p>
    <w:p w:rsidR="00000000" w:rsidRDefault="00000000">
      <w:pPr>
        <w:numPr>
          <w:ilvl w:val="0"/>
          <w:numId w:val="28"/>
        </w:numPr>
      </w:pPr>
      <w:r>
        <w:lastRenderedPageBreak/>
        <w:t>Recent results</w:t>
      </w:r>
    </w:p>
    <w:p w:rsidR="00000000" w:rsidRDefault="00000000">
      <w:pPr>
        <w:numPr>
          <w:ilvl w:val="0"/>
          <w:numId w:val="28"/>
        </w:numPr>
      </w:pPr>
      <w:r>
        <w:t>Estimate revisions</w:t>
      </w:r>
    </w:p>
    <w:p w:rsidR="00000000" w:rsidRDefault="00000000">
      <w:pPr>
        <w:numPr>
          <w:ilvl w:val="0"/>
          <w:numId w:val="28"/>
        </w:numPr>
      </w:pPr>
      <w:r>
        <w:t>Change in return on invested capital</w:t>
      </w:r>
    </w:p>
    <w:p w:rsidR="00000000" w:rsidRDefault="00000000"/>
    <w:p w:rsidR="00000000" w:rsidRDefault="00000000">
      <w:pPr>
        <w:pStyle w:val="Heading1"/>
        <w:numPr>
          <w:ilvl w:val="0"/>
          <w:numId w:val="27"/>
        </w:numPr>
        <w:rPr>
          <w:b w:val="0"/>
        </w:rPr>
      </w:pPr>
      <w:r>
        <w:rPr>
          <w:b w:val="0"/>
        </w:rPr>
        <w:t>The ‘consistency’ section looks at how stable the future profits progression is likely to be typically looking forward over at least the next 5 years.  It should always include a comment on the level of economic sensitivity and will normally include the more relevant of the following:</w:t>
      </w:r>
    </w:p>
    <w:p w:rsidR="00000000" w:rsidRDefault="00000000"/>
    <w:p w:rsidR="00000000" w:rsidRDefault="00000000">
      <w:pPr>
        <w:numPr>
          <w:ilvl w:val="0"/>
          <w:numId w:val="29"/>
        </w:numPr>
      </w:pPr>
      <w:r>
        <w:t>Level of pricing power</w:t>
      </w:r>
    </w:p>
    <w:p w:rsidR="00000000" w:rsidRDefault="00000000">
      <w:pPr>
        <w:numPr>
          <w:ilvl w:val="0"/>
          <w:numId w:val="29"/>
        </w:numPr>
      </w:pPr>
      <w:r>
        <w:t>Scope for major changes in competitive position</w:t>
      </w:r>
    </w:p>
    <w:p w:rsidR="00000000" w:rsidRDefault="00000000">
      <w:pPr>
        <w:numPr>
          <w:ilvl w:val="0"/>
          <w:numId w:val="29"/>
        </w:numPr>
      </w:pPr>
      <w:r>
        <w:t>Earnings visibility</w:t>
      </w:r>
    </w:p>
    <w:p w:rsidR="00000000" w:rsidRDefault="00000000">
      <w:pPr>
        <w:numPr>
          <w:ilvl w:val="0"/>
          <w:numId w:val="29"/>
        </w:numPr>
        <w:tabs>
          <w:tab w:val="left" w:pos="3828"/>
        </w:tabs>
      </w:pPr>
      <w:r>
        <w:t>Free cash flow generation</w:t>
      </w:r>
    </w:p>
    <w:p w:rsidR="00000000" w:rsidRDefault="00000000">
      <w:pPr>
        <w:numPr>
          <w:ilvl w:val="0"/>
          <w:numId w:val="29"/>
        </w:numPr>
      </w:pPr>
      <w:r>
        <w:t>Interest cover</w:t>
      </w:r>
    </w:p>
    <w:p w:rsidR="00000000" w:rsidRDefault="00000000">
      <w:pPr>
        <w:numPr>
          <w:ilvl w:val="0"/>
          <w:numId w:val="29"/>
        </w:numPr>
      </w:pPr>
      <w:r>
        <w:t>Balance sheet strength</w:t>
      </w:r>
    </w:p>
    <w:p w:rsidR="00000000" w:rsidRDefault="00000000">
      <w:pPr>
        <w:numPr>
          <w:ilvl w:val="0"/>
          <w:numId w:val="29"/>
        </w:numPr>
      </w:pPr>
      <w:r>
        <w:t>Historic earnings stability</w:t>
      </w:r>
    </w:p>
    <w:p w:rsidR="00000000" w:rsidRDefault="00000000">
      <w:r>
        <w:br/>
      </w:r>
    </w:p>
    <w:p w:rsidR="00000000" w:rsidRDefault="00000000"/>
    <w:p w:rsidR="00B3617F" w:rsidRDefault="00B3617F">
      <w:pPr>
        <w:pStyle w:val="Memobody"/>
        <w:jc w:val="left"/>
      </w:pPr>
    </w:p>
    <w:sectPr w:rsidR="00B3617F">
      <w:footerReference w:type="default" r:id="rId7"/>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617F" w:rsidRDefault="00B3617F">
      <w:r>
        <w:separator/>
      </w:r>
    </w:p>
  </w:endnote>
  <w:endnote w:type="continuationSeparator" w:id="0">
    <w:p w:rsidR="00B3617F" w:rsidRDefault="00B3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rPr>
        <w:sz w:val="16"/>
      </w:rPr>
    </w:pPr>
    <w:r>
      <w:rPr>
        <w:snapToGrid w:val="0"/>
        <w:sz w:val="16"/>
        <w:lang w:eastAsia="en-US"/>
      </w:rPr>
      <w:fldChar w:fldCharType="begin"/>
    </w:r>
    <w:r>
      <w:rPr>
        <w:snapToGrid w:val="0"/>
        <w:sz w:val="16"/>
        <w:lang w:eastAsia="en-US"/>
      </w:rPr>
      <w:instrText xml:space="preserve"> FILENAME \p </w:instrText>
    </w:r>
    <w:r>
      <w:rPr>
        <w:snapToGrid w:val="0"/>
        <w:sz w:val="16"/>
        <w:lang w:eastAsia="en-US"/>
      </w:rPr>
      <w:fldChar w:fldCharType="separate"/>
    </w:r>
    <w:r>
      <w:rPr>
        <w:noProof/>
        <w:snapToGrid w:val="0"/>
        <w:sz w:val="16"/>
      </w:rPr>
      <w:t>G:\word\UKE\GPR\FIS One Pager Research Notes.doc</w:t>
    </w:r>
    <w:r>
      <w:rPr>
        <w:snapToGrid w:val="0"/>
        <w:sz w:val="16"/>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617F" w:rsidRDefault="00B3617F">
      <w:r>
        <w:separator/>
      </w:r>
    </w:p>
  </w:footnote>
  <w:footnote w:type="continuationSeparator" w:id="0">
    <w:p w:rsidR="00B3617F" w:rsidRDefault="00B36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89F"/>
    <w:multiLevelType w:val="singleLevel"/>
    <w:tmpl w:val="8FC86BB6"/>
    <w:lvl w:ilvl="0">
      <w:start w:val="1"/>
      <w:numFmt w:val="bullet"/>
      <w:lvlText w:val=""/>
      <w:lvlJc w:val="left"/>
      <w:pPr>
        <w:tabs>
          <w:tab w:val="num" w:pos="432"/>
        </w:tabs>
        <w:ind w:left="432" w:hanging="432"/>
      </w:pPr>
      <w:rPr>
        <w:rFonts w:ascii="Symbol" w:hAnsi="Symbol" w:hint="default"/>
        <w:strike w:val="0"/>
        <w:dstrike w:val="0"/>
      </w:rPr>
    </w:lvl>
  </w:abstractNum>
  <w:abstractNum w:abstractNumId="1" w15:restartNumberingAfterBreak="0">
    <w:nsid w:val="05EF5389"/>
    <w:multiLevelType w:val="singleLevel"/>
    <w:tmpl w:val="CB46B284"/>
    <w:lvl w:ilvl="0">
      <w:start w:val="1"/>
      <w:numFmt w:val="bullet"/>
      <w:lvlText w:val=""/>
      <w:lvlJc w:val="left"/>
      <w:pPr>
        <w:tabs>
          <w:tab w:val="num" w:pos="1080"/>
        </w:tabs>
        <w:ind w:left="432" w:firstLine="288"/>
      </w:pPr>
      <w:rPr>
        <w:rFonts w:ascii="Symbol" w:hAnsi="Symbol" w:hint="default"/>
        <w:strike w:val="0"/>
        <w:dstrike w:val="0"/>
      </w:rPr>
    </w:lvl>
  </w:abstractNum>
  <w:abstractNum w:abstractNumId="2" w15:restartNumberingAfterBreak="0">
    <w:nsid w:val="06E82758"/>
    <w:multiLevelType w:val="singleLevel"/>
    <w:tmpl w:val="8FC86BB6"/>
    <w:lvl w:ilvl="0">
      <w:start w:val="1"/>
      <w:numFmt w:val="bullet"/>
      <w:lvlText w:val=""/>
      <w:lvlJc w:val="left"/>
      <w:pPr>
        <w:tabs>
          <w:tab w:val="num" w:pos="432"/>
        </w:tabs>
        <w:ind w:left="432" w:hanging="432"/>
      </w:pPr>
      <w:rPr>
        <w:rFonts w:ascii="Symbol" w:hAnsi="Symbol" w:hint="default"/>
        <w:strike w:val="0"/>
        <w:dstrike w:val="0"/>
      </w:rPr>
    </w:lvl>
  </w:abstractNum>
  <w:abstractNum w:abstractNumId="3" w15:restartNumberingAfterBreak="0">
    <w:nsid w:val="173460C1"/>
    <w:multiLevelType w:val="singleLevel"/>
    <w:tmpl w:val="74A662F0"/>
    <w:lvl w:ilvl="0">
      <w:start w:val="1"/>
      <w:numFmt w:val="bullet"/>
      <w:lvlText w:val=""/>
      <w:lvlJc w:val="left"/>
      <w:pPr>
        <w:tabs>
          <w:tab w:val="num" w:pos="720"/>
        </w:tabs>
        <w:ind w:left="720" w:hanging="720"/>
      </w:pPr>
      <w:rPr>
        <w:rFonts w:ascii="Symbol" w:hAnsi="Symbol" w:hint="default"/>
        <w:strike w:val="0"/>
        <w:dstrike w:val="0"/>
      </w:rPr>
    </w:lvl>
  </w:abstractNum>
  <w:abstractNum w:abstractNumId="4" w15:restartNumberingAfterBreak="0">
    <w:nsid w:val="1A1F5D46"/>
    <w:multiLevelType w:val="singleLevel"/>
    <w:tmpl w:val="12E8CCE2"/>
    <w:lvl w:ilvl="0">
      <w:start w:val="1"/>
      <w:numFmt w:val="upperLetter"/>
      <w:lvlText w:val="%1."/>
      <w:lvlJc w:val="left"/>
      <w:pPr>
        <w:tabs>
          <w:tab w:val="num" w:pos="1080"/>
        </w:tabs>
        <w:ind w:left="1080" w:hanging="360"/>
      </w:pPr>
      <w:rPr>
        <w:rFonts w:hint="default"/>
      </w:rPr>
    </w:lvl>
  </w:abstractNum>
  <w:abstractNum w:abstractNumId="5" w15:restartNumberingAfterBreak="0">
    <w:nsid w:val="1A3F1C07"/>
    <w:multiLevelType w:val="singleLevel"/>
    <w:tmpl w:val="90907820"/>
    <w:lvl w:ilvl="0">
      <w:start w:val="1"/>
      <w:numFmt w:val="lowerLetter"/>
      <w:lvlText w:val="%1)"/>
      <w:lvlJc w:val="left"/>
      <w:pPr>
        <w:tabs>
          <w:tab w:val="num" w:pos="864"/>
        </w:tabs>
        <w:ind w:left="864" w:hanging="432"/>
      </w:pPr>
      <w:rPr>
        <w:b w:val="0"/>
        <w:i w:val="0"/>
      </w:rPr>
    </w:lvl>
  </w:abstractNum>
  <w:abstractNum w:abstractNumId="6" w15:restartNumberingAfterBreak="0">
    <w:nsid w:val="1CA638A4"/>
    <w:multiLevelType w:val="singleLevel"/>
    <w:tmpl w:val="74A662F0"/>
    <w:lvl w:ilvl="0">
      <w:start w:val="1"/>
      <w:numFmt w:val="bullet"/>
      <w:lvlText w:val=""/>
      <w:lvlJc w:val="left"/>
      <w:pPr>
        <w:tabs>
          <w:tab w:val="num" w:pos="720"/>
        </w:tabs>
        <w:ind w:left="720" w:hanging="720"/>
      </w:pPr>
      <w:rPr>
        <w:rFonts w:ascii="Symbol" w:hAnsi="Symbol" w:hint="default"/>
        <w:strike w:val="0"/>
        <w:dstrike w:val="0"/>
      </w:rPr>
    </w:lvl>
  </w:abstractNum>
  <w:abstractNum w:abstractNumId="7" w15:restartNumberingAfterBreak="0">
    <w:nsid w:val="1E6C4187"/>
    <w:multiLevelType w:val="singleLevel"/>
    <w:tmpl w:val="8FC86BB6"/>
    <w:lvl w:ilvl="0">
      <w:start w:val="1"/>
      <w:numFmt w:val="bullet"/>
      <w:lvlText w:val=""/>
      <w:lvlJc w:val="left"/>
      <w:pPr>
        <w:tabs>
          <w:tab w:val="num" w:pos="432"/>
        </w:tabs>
        <w:ind w:left="432" w:hanging="432"/>
      </w:pPr>
      <w:rPr>
        <w:rFonts w:ascii="Symbol" w:hAnsi="Symbol" w:hint="default"/>
        <w:strike w:val="0"/>
        <w:dstrike w:val="0"/>
      </w:rPr>
    </w:lvl>
  </w:abstractNum>
  <w:abstractNum w:abstractNumId="8" w15:restartNumberingAfterBreak="0">
    <w:nsid w:val="25AE3864"/>
    <w:multiLevelType w:val="singleLevel"/>
    <w:tmpl w:val="AE78D184"/>
    <w:lvl w:ilvl="0">
      <w:start w:val="1"/>
      <w:numFmt w:val="decimal"/>
      <w:lvlText w:val="%1."/>
      <w:lvlJc w:val="left"/>
      <w:pPr>
        <w:tabs>
          <w:tab w:val="num" w:pos="720"/>
        </w:tabs>
        <w:ind w:left="720" w:hanging="720"/>
      </w:pPr>
      <w:rPr>
        <w:b w:val="0"/>
        <w:i w:val="0"/>
      </w:rPr>
    </w:lvl>
  </w:abstractNum>
  <w:abstractNum w:abstractNumId="9" w15:restartNumberingAfterBreak="0">
    <w:nsid w:val="28784758"/>
    <w:multiLevelType w:val="singleLevel"/>
    <w:tmpl w:val="74A662F0"/>
    <w:lvl w:ilvl="0">
      <w:start w:val="1"/>
      <w:numFmt w:val="bullet"/>
      <w:lvlText w:val=""/>
      <w:lvlJc w:val="left"/>
      <w:pPr>
        <w:tabs>
          <w:tab w:val="num" w:pos="720"/>
        </w:tabs>
        <w:ind w:left="720" w:hanging="720"/>
      </w:pPr>
      <w:rPr>
        <w:rFonts w:ascii="Symbol" w:hAnsi="Symbol" w:hint="default"/>
        <w:strike w:val="0"/>
        <w:dstrike w:val="0"/>
      </w:rPr>
    </w:lvl>
  </w:abstractNum>
  <w:abstractNum w:abstractNumId="10" w15:restartNumberingAfterBreak="0">
    <w:nsid w:val="2CE930BA"/>
    <w:multiLevelType w:val="singleLevel"/>
    <w:tmpl w:val="2E943F40"/>
    <w:lvl w:ilvl="0">
      <w:start w:val="4"/>
      <w:numFmt w:val="decimal"/>
      <w:lvlText w:val="%1."/>
      <w:lvlJc w:val="left"/>
      <w:pPr>
        <w:tabs>
          <w:tab w:val="num" w:pos="720"/>
        </w:tabs>
        <w:ind w:left="720" w:hanging="720"/>
      </w:pPr>
      <w:rPr>
        <w:b w:val="0"/>
        <w:i w:val="0"/>
      </w:rPr>
    </w:lvl>
  </w:abstractNum>
  <w:abstractNum w:abstractNumId="11" w15:restartNumberingAfterBreak="0">
    <w:nsid w:val="3183328C"/>
    <w:multiLevelType w:val="singleLevel"/>
    <w:tmpl w:val="4CD0451C"/>
    <w:lvl w:ilvl="0">
      <w:start w:val="1"/>
      <w:numFmt w:val="lowerLetter"/>
      <w:lvlText w:val="%1)"/>
      <w:lvlJc w:val="left"/>
      <w:pPr>
        <w:tabs>
          <w:tab w:val="num" w:pos="1080"/>
        </w:tabs>
        <w:ind w:left="1080" w:hanging="360"/>
      </w:pPr>
    </w:lvl>
  </w:abstractNum>
  <w:abstractNum w:abstractNumId="12" w15:restartNumberingAfterBreak="0">
    <w:nsid w:val="3A80779E"/>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3DF47C99"/>
    <w:multiLevelType w:val="singleLevel"/>
    <w:tmpl w:val="DFDC9CEC"/>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3EB4372C"/>
    <w:multiLevelType w:val="singleLevel"/>
    <w:tmpl w:val="071CF5C8"/>
    <w:lvl w:ilvl="0">
      <w:start w:val="13"/>
      <w:numFmt w:val="decimal"/>
      <w:lvlText w:val="%1."/>
      <w:lvlJc w:val="left"/>
      <w:pPr>
        <w:tabs>
          <w:tab w:val="num" w:pos="720"/>
        </w:tabs>
        <w:ind w:left="720" w:hanging="720"/>
      </w:pPr>
      <w:rPr>
        <w:b w:val="0"/>
        <w:i w:val="0"/>
      </w:rPr>
    </w:lvl>
  </w:abstractNum>
  <w:abstractNum w:abstractNumId="15" w15:restartNumberingAfterBreak="0">
    <w:nsid w:val="3EFE67AF"/>
    <w:multiLevelType w:val="singleLevel"/>
    <w:tmpl w:val="ECE218C2"/>
    <w:lvl w:ilvl="0">
      <w:start w:val="1"/>
      <w:numFmt w:val="decimal"/>
      <w:lvlText w:val="%1."/>
      <w:lvlJc w:val="left"/>
      <w:pPr>
        <w:tabs>
          <w:tab w:val="num" w:pos="567"/>
        </w:tabs>
        <w:ind w:left="567" w:hanging="567"/>
      </w:pPr>
      <w:rPr>
        <w:b w:val="0"/>
        <w:i w:val="0"/>
      </w:rPr>
    </w:lvl>
  </w:abstractNum>
  <w:abstractNum w:abstractNumId="16" w15:restartNumberingAfterBreak="0">
    <w:nsid w:val="449B1E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6FC055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7541D85"/>
    <w:multiLevelType w:val="singleLevel"/>
    <w:tmpl w:val="08CCCB54"/>
    <w:lvl w:ilvl="0">
      <w:start w:val="1"/>
      <w:numFmt w:val="bullet"/>
      <w:lvlText w:val=""/>
      <w:lvlJc w:val="left"/>
      <w:pPr>
        <w:tabs>
          <w:tab w:val="num" w:pos="1080"/>
        </w:tabs>
        <w:ind w:left="1080" w:hanging="360"/>
      </w:pPr>
      <w:rPr>
        <w:rFonts w:ascii="Symbol" w:hAnsi="Symbol" w:hint="default"/>
        <w:strike w:val="0"/>
        <w:dstrike w:val="0"/>
      </w:rPr>
    </w:lvl>
  </w:abstractNum>
  <w:abstractNum w:abstractNumId="19" w15:restartNumberingAfterBreak="0">
    <w:nsid w:val="52C33B3B"/>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20" w15:restartNumberingAfterBreak="0">
    <w:nsid w:val="547978BA"/>
    <w:multiLevelType w:val="singleLevel"/>
    <w:tmpl w:val="08CCCB54"/>
    <w:lvl w:ilvl="0">
      <w:start w:val="1"/>
      <w:numFmt w:val="bullet"/>
      <w:lvlText w:val=""/>
      <w:lvlJc w:val="left"/>
      <w:pPr>
        <w:tabs>
          <w:tab w:val="num" w:pos="1080"/>
        </w:tabs>
        <w:ind w:left="1080" w:hanging="360"/>
      </w:pPr>
      <w:rPr>
        <w:rFonts w:ascii="Symbol" w:hAnsi="Symbol" w:hint="default"/>
        <w:strike w:val="0"/>
        <w:dstrike w:val="0"/>
      </w:rPr>
    </w:lvl>
  </w:abstractNum>
  <w:abstractNum w:abstractNumId="21" w15:restartNumberingAfterBreak="0">
    <w:nsid w:val="65E42DFC"/>
    <w:multiLevelType w:val="singleLevel"/>
    <w:tmpl w:val="7CFC5C6C"/>
    <w:lvl w:ilvl="0">
      <w:start w:val="1"/>
      <w:numFmt w:val="decimal"/>
      <w:lvlText w:val="%1."/>
      <w:lvlJc w:val="left"/>
      <w:pPr>
        <w:tabs>
          <w:tab w:val="num" w:pos="720"/>
        </w:tabs>
        <w:ind w:left="720" w:hanging="720"/>
      </w:pPr>
    </w:lvl>
  </w:abstractNum>
  <w:abstractNum w:abstractNumId="22" w15:restartNumberingAfterBreak="0">
    <w:nsid w:val="66481CA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B48026E"/>
    <w:multiLevelType w:val="singleLevel"/>
    <w:tmpl w:val="08CCCB54"/>
    <w:lvl w:ilvl="0">
      <w:start w:val="1"/>
      <w:numFmt w:val="bullet"/>
      <w:lvlText w:val=""/>
      <w:lvlJc w:val="left"/>
      <w:pPr>
        <w:tabs>
          <w:tab w:val="num" w:pos="1080"/>
        </w:tabs>
        <w:ind w:left="1080" w:hanging="360"/>
      </w:pPr>
      <w:rPr>
        <w:rFonts w:ascii="Symbol" w:hAnsi="Symbol" w:hint="default"/>
        <w:strike w:val="0"/>
        <w:dstrike w:val="0"/>
      </w:rPr>
    </w:lvl>
  </w:abstractNum>
  <w:abstractNum w:abstractNumId="24" w15:restartNumberingAfterBreak="0">
    <w:nsid w:val="6DAB1196"/>
    <w:multiLevelType w:val="singleLevel"/>
    <w:tmpl w:val="5AC813DC"/>
    <w:lvl w:ilvl="0">
      <w:start w:val="1"/>
      <w:numFmt w:val="lowerLetter"/>
      <w:lvlText w:val="%1)"/>
      <w:lvlJc w:val="left"/>
      <w:pPr>
        <w:tabs>
          <w:tab w:val="num" w:pos="720"/>
        </w:tabs>
        <w:ind w:left="720" w:hanging="720"/>
      </w:pPr>
      <w:rPr>
        <w:b w:val="0"/>
        <w:i w:val="0"/>
      </w:rPr>
    </w:lvl>
  </w:abstractNum>
  <w:abstractNum w:abstractNumId="25" w15:restartNumberingAfterBreak="0">
    <w:nsid w:val="6EFE61FC"/>
    <w:multiLevelType w:val="singleLevel"/>
    <w:tmpl w:val="A7064524"/>
    <w:lvl w:ilvl="0">
      <w:start w:val="7"/>
      <w:numFmt w:val="decimal"/>
      <w:lvlText w:val="%1."/>
      <w:lvlJc w:val="left"/>
      <w:pPr>
        <w:tabs>
          <w:tab w:val="num" w:pos="720"/>
        </w:tabs>
        <w:ind w:left="720" w:hanging="720"/>
      </w:pPr>
      <w:rPr>
        <w:b w:val="0"/>
        <w:i w:val="0"/>
      </w:rPr>
    </w:lvl>
  </w:abstractNum>
  <w:abstractNum w:abstractNumId="26" w15:restartNumberingAfterBreak="0">
    <w:nsid w:val="6FAA144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541008"/>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28" w15:restartNumberingAfterBreak="0">
    <w:nsid w:val="78DF6565"/>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29" w15:restartNumberingAfterBreak="0">
    <w:nsid w:val="79A61585"/>
    <w:multiLevelType w:val="singleLevel"/>
    <w:tmpl w:val="08CCCB54"/>
    <w:lvl w:ilvl="0">
      <w:start w:val="1"/>
      <w:numFmt w:val="bullet"/>
      <w:lvlText w:val=""/>
      <w:lvlJc w:val="left"/>
      <w:pPr>
        <w:tabs>
          <w:tab w:val="num" w:pos="1080"/>
        </w:tabs>
        <w:ind w:left="1080" w:hanging="360"/>
      </w:pPr>
      <w:rPr>
        <w:rFonts w:ascii="Symbol" w:hAnsi="Symbol" w:hint="default"/>
        <w:strike w:val="0"/>
        <w:dstrike w:val="0"/>
      </w:rPr>
    </w:lvl>
  </w:abstractNum>
  <w:num w:numId="1" w16cid:durableId="831721770">
    <w:abstractNumId w:val="21"/>
  </w:num>
  <w:num w:numId="2" w16cid:durableId="1039669373">
    <w:abstractNumId w:val="7"/>
  </w:num>
  <w:num w:numId="3" w16cid:durableId="556624094">
    <w:abstractNumId w:val="2"/>
  </w:num>
  <w:num w:numId="4" w16cid:durableId="1736394550">
    <w:abstractNumId w:val="0"/>
  </w:num>
  <w:num w:numId="5" w16cid:durableId="583031801">
    <w:abstractNumId w:val="5"/>
  </w:num>
  <w:num w:numId="6" w16cid:durableId="468938600">
    <w:abstractNumId w:val="24"/>
  </w:num>
  <w:num w:numId="7" w16cid:durableId="1044791395">
    <w:abstractNumId w:val="1"/>
  </w:num>
  <w:num w:numId="8" w16cid:durableId="1206524733">
    <w:abstractNumId w:val="23"/>
  </w:num>
  <w:num w:numId="9" w16cid:durableId="769663730">
    <w:abstractNumId w:val="20"/>
  </w:num>
  <w:num w:numId="10" w16cid:durableId="1432973621">
    <w:abstractNumId w:val="18"/>
  </w:num>
  <w:num w:numId="11" w16cid:durableId="1373654973">
    <w:abstractNumId w:val="29"/>
  </w:num>
  <w:num w:numId="12" w16cid:durableId="1308170192">
    <w:abstractNumId w:val="3"/>
  </w:num>
  <w:num w:numId="13" w16cid:durableId="1092817526">
    <w:abstractNumId w:val="6"/>
  </w:num>
  <w:num w:numId="14" w16cid:durableId="2025396320">
    <w:abstractNumId w:val="9"/>
  </w:num>
  <w:num w:numId="15" w16cid:durableId="1178303694">
    <w:abstractNumId w:val="8"/>
  </w:num>
  <w:num w:numId="16" w16cid:durableId="1246920238">
    <w:abstractNumId w:val="11"/>
  </w:num>
  <w:num w:numId="17" w16cid:durableId="252973730">
    <w:abstractNumId w:val="4"/>
  </w:num>
  <w:num w:numId="18" w16cid:durableId="173229744">
    <w:abstractNumId w:val="15"/>
  </w:num>
  <w:num w:numId="19" w16cid:durableId="604773009">
    <w:abstractNumId w:val="17"/>
  </w:num>
  <w:num w:numId="20" w16cid:durableId="1694266885">
    <w:abstractNumId w:val="10"/>
  </w:num>
  <w:num w:numId="21" w16cid:durableId="1919049392">
    <w:abstractNumId w:val="25"/>
  </w:num>
  <w:num w:numId="22" w16cid:durableId="1545481464">
    <w:abstractNumId w:val="22"/>
  </w:num>
  <w:num w:numId="23" w16cid:durableId="1392926840">
    <w:abstractNumId w:val="26"/>
  </w:num>
  <w:num w:numId="24" w16cid:durableId="455687322">
    <w:abstractNumId w:val="16"/>
  </w:num>
  <w:num w:numId="25" w16cid:durableId="852034188">
    <w:abstractNumId w:val="27"/>
  </w:num>
  <w:num w:numId="26" w16cid:durableId="1872500105">
    <w:abstractNumId w:val="12"/>
  </w:num>
  <w:num w:numId="27" w16cid:durableId="1765154000">
    <w:abstractNumId w:val="14"/>
  </w:num>
  <w:num w:numId="28" w16cid:durableId="113139308">
    <w:abstractNumId w:val="19"/>
  </w:num>
  <w:num w:numId="29" w16cid:durableId="562370707">
    <w:abstractNumId w:val="28"/>
  </w:num>
  <w:num w:numId="30" w16cid:durableId="771372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B8"/>
    <w:rsid w:val="00B109B8"/>
    <w:rsid w:val="00B36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0316C4-6671-4135-B56E-F83D061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jc w:val="center"/>
      <w:outlineLvl w:val="2"/>
    </w:pPr>
    <w:rPr>
      <w:b/>
      <w:lang w:val="en-US"/>
    </w:rPr>
  </w:style>
  <w:style w:type="paragraph" w:styleId="Heading4">
    <w:name w:val="heading 4"/>
    <w:basedOn w:val="Normal"/>
    <w:next w:val="Normal"/>
    <w:qFormat/>
    <w:pPr>
      <w:keepNext/>
      <w:outlineLvl w:val="3"/>
    </w:pPr>
    <w:rPr>
      <w:rFonts w:ascii="Times New Roman" w:hAnsi="Times New Roman"/>
      <w:b/>
      <w:sz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body">
    <w:name w:val="~Memo body"/>
    <w:basedOn w:val="Normal"/>
    <w:pPr>
      <w:widowControl w:val="0"/>
      <w:spacing w:line="300" w:lineRule="exact"/>
      <w:jc w:val="both"/>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semiHidden/>
    <w:pPr>
      <w:ind w:left="567"/>
    </w:pPr>
  </w:style>
  <w:style w:type="paragraph" w:styleId="BodyTextIndent2">
    <w:name w:val="Body Text Indent 2"/>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FIS ‘One Pager’ Research Notes</vt:lpstr>
    </vt:vector>
  </TitlesOfParts>
  <Company>I&amp;S</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 ‘One Pager’ Research Notes</dc:title>
  <dc:subject/>
  <dc:creator>Donna Oates</dc:creator>
  <cp:keywords/>
  <dc:description/>
  <cp:lastModifiedBy>Peter Collins</cp:lastModifiedBy>
  <cp:revision>2</cp:revision>
  <cp:lastPrinted>1999-12-01T09:53:00Z</cp:lastPrinted>
  <dcterms:created xsi:type="dcterms:W3CDTF">2023-06-02T09:44:00Z</dcterms:created>
  <dcterms:modified xsi:type="dcterms:W3CDTF">2023-06-02T09:44:00Z</dcterms:modified>
</cp:coreProperties>
</file>