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er"/>
        <w:tabs>
          <w:tab w:val="clear" w:pos="4153"/>
          <w:tab w:val="clear" w:pos="8306"/>
        </w:tabs>
        <w:rPr>
          <w:b/>
        </w:rPr>
      </w:pPr>
      <w:r>
        <w:rPr>
          <w:b/>
        </w:rPr>
        <w:t>DRAFT</w:t>
      </w:r>
    </w:p>
    <w:p w:rsidR="00000000" w:rsidRDefault="00000000">
      <w:pPr>
        <w:pStyle w:val="Header"/>
        <w:tabs>
          <w:tab w:val="clear" w:pos="4153"/>
          <w:tab w:val="clear" w:pos="8306"/>
        </w:tabs>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8928"/>
      </w:tblGrid>
      <w:tr w:rsidR="00000000">
        <w:tblPrEx>
          <w:tblCellMar>
            <w:top w:w="0" w:type="dxa"/>
            <w:bottom w:w="0" w:type="dxa"/>
          </w:tblCellMar>
        </w:tblPrEx>
        <w:tc>
          <w:tcPr>
            <w:tcW w:w="8928" w:type="dxa"/>
            <w:shd w:val="clear" w:color="000000" w:fill="FFFFFF"/>
          </w:tcPr>
          <w:p w:rsidR="00000000" w:rsidRDefault="00000000">
            <w:pPr>
              <w:numPr>
                <w:ilvl w:val="1"/>
                <w:numId w:val="1"/>
              </w:numPr>
              <w:ind w:right="505"/>
              <w:rPr>
                <w:b/>
              </w:rPr>
            </w:pPr>
            <w:r>
              <w:rPr>
                <w:b/>
              </w:rPr>
              <w:t>Stock, sector and tracking error limits</w:t>
            </w:r>
          </w:p>
        </w:tc>
      </w:tr>
    </w:tbl>
    <w:p w:rsidR="00000000" w:rsidRDefault="00000000"/>
    <w:p w:rsidR="00000000" w:rsidRDefault="00000000">
      <w:pPr>
        <w:pStyle w:val="BodyTextIndent2"/>
      </w:pPr>
      <w:r>
        <w:t>Portfolios managed by pan European team</w:t>
      </w:r>
    </w:p>
    <w:p w:rsidR="00000000" w:rsidRDefault="00000000">
      <w:pPr>
        <w:ind w:left="709" w:hanging="709"/>
      </w:pPr>
    </w:p>
    <w:p w:rsidR="00000000" w:rsidRDefault="00000000">
      <w:pPr>
        <w:numPr>
          <w:ilvl w:val="2"/>
          <w:numId w:val="14"/>
        </w:numPr>
      </w:pPr>
      <w:r>
        <w:t>The limits apply to portfolios that:-</w:t>
      </w:r>
      <w:r>
        <w:br/>
      </w:r>
    </w:p>
    <w:p w:rsidR="00000000" w:rsidRDefault="00000000">
      <w:pPr>
        <w:numPr>
          <w:ilvl w:val="0"/>
          <w:numId w:val="15"/>
        </w:numPr>
      </w:pPr>
      <w:r>
        <w:t>hold more than 40 stocks</w:t>
      </w:r>
    </w:p>
    <w:p w:rsidR="00000000" w:rsidRDefault="00000000">
      <w:pPr>
        <w:numPr>
          <w:ilvl w:val="0"/>
          <w:numId w:val="15"/>
        </w:numPr>
      </w:pPr>
      <w:r>
        <w:t>are invested in predominantly larger companies</w:t>
      </w:r>
    </w:p>
    <w:p w:rsidR="00000000" w:rsidRDefault="00000000">
      <w:pPr>
        <w:numPr>
          <w:ilvl w:val="0"/>
          <w:numId w:val="15"/>
        </w:numPr>
        <w:ind w:right="242"/>
      </w:pPr>
      <w:r>
        <w:t>do not have a non-standard constraint in client mandate (</w:t>
      </w:r>
      <w:proofErr w:type="spellStart"/>
      <w:r>
        <w:t>eg</w:t>
      </w:r>
      <w:proofErr w:type="spellEnd"/>
      <w:r>
        <w:t xml:space="preserve"> an ethical one)</w:t>
      </w:r>
      <w:r>
        <w:br/>
      </w:r>
    </w:p>
    <w:p w:rsidR="00000000" w:rsidRDefault="00000000">
      <w:pPr>
        <w:numPr>
          <w:ilvl w:val="2"/>
          <w:numId w:val="14"/>
        </w:numPr>
        <w:ind w:right="-28"/>
      </w:pPr>
      <w:r>
        <w:t>The limits apply to load differences relative to the index benchmark.  For peer group benchmarked funds the load differences are taken relative to the most comparable index, these are currently:-</w:t>
      </w:r>
      <w:r>
        <w:tab/>
      </w:r>
      <w:r>
        <w:br/>
      </w:r>
      <w:r>
        <w:br/>
        <w:t>UK</w:t>
      </w:r>
      <w:r>
        <w:tab/>
      </w:r>
      <w:r>
        <w:tab/>
      </w:r>
      <w:r>
        <w:tab/>
      </w:r>
      <w:r>
        <w:tab/>
        <w:t xml:space="preserve">FT All Share </w:t>
      </w:r>
      <w:r>
        <w:br/>
        <w:t>Continental Europe</w:t>
      </w:r>
      <w:r>
        <w:tab/>
      </w:r>
      <w:r>
        <w:tab/>
        <w:t>FT S&amp;P Europe ex UK</w:t>
      </w:r>
      <w:r>
        <w:tab/>
        <w:t xml:space="preserve"> </w:t>
      </w:r>
      <w:r>
        <w:br/>
        <w:t>Pan-Europe</w:t>
      </w:r>
      <w:r>
        <w:tab/>
      </w:r>
      <w:r>
        <w:tab/>
      </w:r>
      <w:r>
        <w:tab/>
        <w:t xml:space="preserve">FT S&amp;P Europe </w:t>
      </w:r>
      <w:r>
        <w:br/>
      </w:r>
    </w:p>
    <w:p w:rsidR="00000000" w:rsidRDefault="00000000">
      <w:pPr>
        <w:numPr>
          <w:ilvl w:val="2"/>
          <w:numId w:val="14"/>
        </w:numPr>
        <w:ind w:right="-964"/>
      </w:pPr>
      <w:r>
        <w:t>Stock limits for the model portfolios</w:t>
      </w:r>
    </w:p>
    <w:p w:rsidR="00000000" w:rsidRDefault="00000000">
      <w:pPr>
        <w:ind w:right="-964"/>
      </w:pPr>
    </w:p>
    <w:p w:rsidR="00000000" w:rsidRDefault="00000000">
      <w:pPr>
        <w:numPr>
          <w:ilvl w:val="0"/>
          <w:numId w:val="4"/>
        </w:numPr>
        <w:ind w:right="-28"/>
      </w:pPr>
      <w:r>
        <w:t>Any transactions that increase the load difference to over 2% require the prior approval of the Head of pan European equities.</w:t>
      </w:r>
      <w:r>
        <w:br/>
      </w:r>
    </w:p>
    <w:p w:rsidR="00000000" w:rsidRDefault="00000000">
      <w:pPr>
        <w:numPr>
          <w:ilvl w:val="0"/>
          <w:numId w:val="5"/>
        </w:numPr>
        <w:ind w:right="-28"/>
      </w:pPr>
      <w:r>
        <w:t>Transactions that increase the load difference to over 4% should only occur in exceptional circumstances.  The prior approval of the CIO is required.</w:t>
      </w:r>
      <w:r>
        <w:br/>
      </w:r>
    </w:p>
    <w:p w:rsidR="00000000" w:rsidRDefault="00000000">
      <w:pPr>
        <w:numPr>
          <w:ilvl w:val="0"/>
          <w:numId w:val="5"/>
        </w:numPr>
        <w:ind w:right="-28"/>
        <w:rPr>
          <w:b/>
        </w:rPr>
      </w:pPr>
      <w:r>
        <w:t>Where changes in market prices have led to these limits being breached consistently over a one month period, approval from the Head of pan-European equities/CIO must then be sought to maintain the position.</w:t>
      </w:r>
      <w:r>
        <w:br/>
      </w:r>
    </w:p>
    <w:p w:rsidR="00000000" w:rsidRDefault="00000000">
      <w:pPr>
        <w:numPr>
          <w:ilvl w:val="2"/>
          <w:numId w:val="2"/>
        </w:numPr>
        <w:ind w:right="-964"/>
      </w:pPr>
      <w:r>
        <w:t>Sector limits for the model portfolios</w:t>
      </w:r>
    </w:p>
    <w:p w:rsidR="00000000" w:rsidRDefault="00000000">
      <w:pPr>
        <w:ind w:right="-964"/>
      </w:pPr>
    </w:p>
    <w:p w:rsidR="00000000" w:rsidRDefault="00000000">
      <w:pPr>
        <w:numPr>
          <w:ilvl w:val="0"/>
          <w:numId w:val="6"/>
        </w:numPr>
        <w:ind w:right="-28"/>
      </w:pPr>
      <w:r>
        <w:t>Any transactions that increase the load difference to over 5% require the prior approval of the Head of pan European equities.</w:t>
      </w:r>
      <w:r>
        <w:br/>
      </w:r>
    </w:p>
    <w:p w:rsidR="00000000" w:rsidRDefault="00000000">
      <w:pPr>
        <w:numPr>
          <w:ilvl w:val="0"/>
          <w:numId w:val="6"/>
        </w:numPr>
        <w:ind w:right="-28"/>
      </w:pPr>
      <w:r>
        <w:t>Transactions that increase the load difference to over 10% should only occur in exceptional circumstances.  The prior approval of the CIO is required.</w:t>
      </w:r>
      <w:r>
        <w:br/>
      </w:r>
    </w:p>
    <w:p w:rsidR="00000000" w:rsidRDefault="00000000">
      <w:pPr>
        <w:numPr>
          <w:ilvl w:val="0"/>
          <w:numId w:val="6"/>
        </w:numPr>
        <w:ind w:right="-28"/>
      </w:pPr>
      <w:r>
        <w:t>Where changes in market prices have led to these limits being breached consistently over a one month period, approval from the Head of pan European equities/CIO must then be sought to maintain the position.</w:t>
      </w:r>
      <w:r>
        <w:br/>
      </w:r>
    </w:p>
    <w:p w:rsidR="00000000" w:rsidRDefault="00000000">
      <w:pPr>
        <w:numPr>
          <w:ilvl w:val="2"/>
          <w:numId w:val="3"/>
        </w:numPr>
        <w:ind w:right="-964"/>
      </w:pPr>
      <w:r>
        <w:br w:type="page"/>
      </w:r>
      <w:r>
        <w:lastRenderedPageBreak/>
        <w:t>Stock and sector limits for actual portfolios</w:t>
      </w:r>
      <w:r>
        <w:br/>
      </w:r>
    </w:p>
    <w:p w:rsidR="00000000" w:rsidRDefault="00000000">
      <w:pPr>
        <w:ind w:left="1588" w:right="-28"/>
      </w:pPr>
      <w:r>
        <w:t>The limits and requirements are the same as for model portfolios.  However where the fund position is within 0.5% (stock) or 1% (sector) of the model portfolio position, no additional approvals are required.</w:t>
      </w:r>
    </w:p>
    <w:p w:rsidR="00000000" w:rsidRDefault="00000000">
      <w:pPr>
        <w:ind w:left="1588"/>
      </w:pPr>
    </w:p>
    <w:p w:rsidR="00000000" w:rsidRDefault="00000000">
      <w:pPr>
        <w:numPr>
          <w:ilvl w:val="2"/>
          <w:numId w:val="23"/>
        </w:numPr>
      </w:pPr>
      <w:r>
        <w:t>Tracking error limits for the model portfolios</w:t>
      </w:r>
      <w:r>
        <w:br/>
      </w:r>
    </w:p>
    <w:p w:rsidR="00000000" w:rsidRDefault="00000000">
      <w:pPr>
        <w:numPr>
          <w:ilvl w:val="0"/>
          <w:numId w:val="12"/>
        </w:numPr>
      </w:pPr>
      <w:r>
        <w:t>The long term target ranges for tracking error (as measured by the appropriate BARRA risk model) are as follows:</w:t>
      </w:r>
      <w:r>
        <w:br/>
      </w:r>
      <w:r>
        <w:br/>
        <w:t>UK diversified</w:t>
      </w:r>
      <w:r>
        <w:tab/>
      </w:r>
      <w:r>
        <w:tab/>
      </w:r>
      <w:r>
        <w:tab/>
        <w:t>2.0</w:t>
      </w:r>
      <w:r>
        <w:tab/>
        <w:t>-</w:t>
      </w:r>
      <w:r>
        <w:tab/>
        <w:t>2.5</w:t>
      </w:r>
      <w:r>
        <w:br/>
        <w:t>UK focussed</w:t>
      </w:r>
      <w:r>
        <w:tab/>
      </w:r>
      <w:r>
        <w:tab/>
      </w:r>
      <w:r>
        <w:tab/>
        <w:t>2.75</w:t>
      </w:r>
      <w:r>
        <w:tab/>
        <w:t>-</w:t>
      </w:r>
      <w:r>
        <w:tab/>
        <w:t>3.25</w:t>
      </w:r>
      <w:r>
        <w:br/>
        <w:t>Continental European</w:t>
      </w:r>
      <w:r>
        <w:tab/>
      </w:r>
      <w:r>
        <w:tab/>
        <w:t>2.75</w:t>
      </w:r>
      <w:r>
        <w:tab/>
        <w:t>-</w:t>
      </w:r>
      <w:r>
        <w:tab/>
        <w:t>3.25</w:t>
      </w:r>
      <w:r>
        <w:br/>
        <w:t>Pan European</w:t>
      </w:r>
      <w:r>
        <w:tab/>
      </w:r>
      <w:r>
        <w:tab/>
      </w:r>
      <w:r>
        <w:tab/>
        <w:t>2.75</w:t>
      </w:r>
      <w:r>
        <w:tab/>
        <w:t>-</w:t>
      </w:r>
      <w:r>
        <w:tab/>
        <w:t>3.25</w:t>
      </w:r>
      <w:r>
        <w:br/>
      </w:r>
      <w:r>
        <w:br/>
        <w:t>These target ranges are for the levels of tracking error that we would expect the model portfolios to average over the longer term.</w:t>
      </w:r>
      <w:r>
        <w:br/>
      </w:r>
    </w:p>
    <w:p w:rsidR="00000000" w:rsidRDefault="00000000">
      <w:pPr>
        <w:numPr>
          <w:ilvl w:val="0"/>
          <w:numId w:val="12"/>
        </w:numPr>
      </w:pPr>
      <w:r>
        <w:t>Where the tracking error is more than 0.25% outside these ranges, the aggregate effect of transactions done in a calendar month period must not increase the expected tracking error on the portfolios, unless prior approval is given by the head of pan European equities.</w:t>
      </w:r>
      <w:r>
        <w:br/>
      </w:r>
    </w:p>
    <w:p w:rsidR="00000000" w:rsidRDefault="00000000">
      <w:pPr>
        <w:numPr>
          <w:ilvl w:val="0"/>
          <w:numId w:val="12"/>
        </w:numPr>
      </w:pPr>
      <w:r>
        <w:t>Where the tracking error is more than 1% outside these ranges, the difference must be targeted to fall below the 1% limit by the end of the following calendar month, unless prior approval to maintain the level of tracking error is given by the CIO.</w:t>
      </w:r>
      <w:r>
        <w:br/>
      </w:r>
    </w:p>
    <w:p w:rsidR="000B2724" w:rsidRDefault="00000000">
      <w:pPr>
        <w:numPr>
          <w:ilvl w:val="2"/>
          <w:numId w:val="24"/>
        </w:numPr>
      </w:pPr>
      <w:r>
        <w:t>Tracking error limits for actual portfolios</w:t>
      </w:r>
      <w:r>
        <w:br/>
      </w:r>
      <w:r>
        <w:br/>
        <w:t>For those funds that are running off one of the above model portfolios, the same limits and requirements apply.  However where the tracking error to the index on the actual portfolio is within 0.25% of the model portfolio, no additional approvals we required.</w:t>
      </w:r>
    </w:p>
    <w:sectPr w:rsidR="000B2724">
      <w:footerReference w:type="default" r:id="rId7"/>
      <w:pgSz w:w="11906" w:h="16838"/>
      <w:pgMar w:top="1440" w:right="1152" w:bottom="1440"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2724" w:rsidRDefault="000B2724">
      <w:r>
        <w:separator/>
      </w:r>
    </w:p>
  </w:endnote>
  <w:endnote w:type="continuationSeparator" w:id="0">
    <w:p w:rsidR="000B2724" w:rsidRDefault="000B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Pr>
    <w:r>
      <w:rPr>
        <w:snapToGrid w:val="0"/>
        <w:lang w:eastAsia="en-US"/>
      </w:rPr>
      <w:fldChar w:fldCharType="begin"/>
    </w:r>
    <w:r>
      <w:rPr>
        <w:snapToGrid w:val="0"/>
        <w:lang w:eastAsia="en-US"/>
      </w:rPr>
      <w:instrText xml:space="preserve"> FILENAME \p </w:instrText>
    </w:r>
    <w:r>
      <w:rPr>
        <w:snapToGrid w:val="0"/>
        <w:lang w:eastAsia="en-US"/>
      </w:rPr>
      <w:fldChar w:fldCharType="separate"/>
    </w:r>
    <w:r>
      <w:rPr>
        <w:noProof/>
        <w:snapToGrid w:val="0"/>
      </w:rPr>
      <w:t>G:\word\UKE\GPR\Stock, sector and trading error limits.doc</w:t>
    </w:r>
    <w:r>
      <w:rPr>
        <w:snapToGrid w:val="0"/>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2724" w:rsidRDefault="000B2724">
      <w:r>
        <w:separator/>
      </w:r>
    </w:p>
  </w:footnote>
  <w:footnote w:type="continuationSeparator" w:id="0">
    <w:p w:rsidR="000B2724" w:rsidRDefault="000B2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F26"/>
    <w:multiLevelType w:val="singleLevel"/>
    <w:tmpl w:val="24E49156"/>
    <w:lvl w:ilvl="0">
      <w:start w:val="1"/>
      <w:numFmt w:val="bullet"/>
      <w:lvlText w:val=""/>
      <w:lvlJc w:val="left"/>
      <w:pPr>
        <w:tabs>
          <w:tab w:val="num" w:pos="2232"/>
        </w:tabs>
        <w:ind w:left="2232" w:hanging="432"/>
      </w:pPr>
      <w:rPr>
        <w:rFonts w:ascii="Symbol" w:hAnsi="Symbol" w:hint="default"/>
      </w:rPr>
    </w:lvl>
  </w:abstractNum>
  <w:abstractNum w:abstractNumId="1" w15:restartNumberingAfterBreak="0">
    <w:nsid w:val="07CA0A61"/>
    <w:multiLevelType w:val="singleLevel"/>
    <w:tmpl w:val="E4400932"/>
    <w:lvl w:ilvl="0">
      <w:start w:val="1"/>
      <w:numFmt w:val="bullet"/>
      <w:lvlText w:val=""/>
      <w:lvlJc w:val="left"/>
      <w:pPr>
        <w:tabs>
          <w:tab w:val="num" w:pos="1948"/>
        </w:tabs>
        <w:ind w:left="1928" w:hanging="340"/>
      </w:pPr>
      <w:rPr>
        <w:rFonts w:ascii="Symbol" w:hAnsi="Symbol" w:hint="default"/>
      </w:rPr>
    </w:lvl>
  </w:abstractNum>
  <w:abstractNum w:abstractNumId="2" w15:restartNumberingAfterBreak="0">
    <w:nsid w:val="12DB2280"/>
    <w:multiLevelType w:val="multilevel"/>
    <w:tmpl w:val="B504119C"/>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5"/>
      <w:numFmt w:val="decimal"/>
      <w:lvlText w:val="%1.%2.%3."/>
      <w:lvlJc w:val="left"/>
      <w:pPr>
        <w:tabs>
          <w:tab w:val="num" w:pos="1588"/>
        </w:tabs>
        <w:ind w:left="1588" w:hanging="908"/>
      </w:pPr>
      <w:rPr>
        <w:b w:val="0"/>
        <w:i w:val="0"/>
      </w:rPr>
    </w:lvl>
    <w:lvl w:ilvl="3">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18CB57A4"/>
    <w:multiLevelType w:val="singleLevel"/>
    <w:tmpl w:val="E04A2672"/>
    <w:lvl w:ilvl="0">
      <w:start w:val="1"/>
      <w:numFmt w:val="bullet"/>
      <w:lvlText w:val=""/>
      <w:lvlJc w:val="left"/>
      <w:pPr>
        <w:tabs>
          <w:tab w:val="num" w:pos="1948"/>
        </w:tabs>
        <w:ind w:left="1928" w:hanging="340"/>
      </w:pPr>
      <w:rPr>
        <w:rFonts w:ascii="Symbol" w:hAnsi="Symbol" w:hint="default"/>
      </w:rPr>
    </w:lvl>
  </w:abstractNum>
  <w:abstractNum w:abstractNumId="4" w15:restartNumberingAfterBreak="0">
    <w:nsid w:val="1C687A87"/>
    <w:multiLevelType w:val="multilevel"/>
    <w:tmpl w:val="6FC8AD6A"/>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13"/>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217246DE"/>
    <w:multiLevelType w:val="singleLevel"/>
    <w:tmpl w:val="E3F245A6"/>
    <w:lvl w:ilvl="0">
      <w:start w:val="1"/>
      <w:numFmt w:val="bullet"/>
      <w:lvlText w:val=""/>
      <w:lvlJc w:val="left"/>
      <w:pPr>
        <w:tabs>
          <w:tab w:val="num" w:pos="1948"/>
        </w:tabs>
        <w:ind w:left="1928" w:hanging="340"/>
      </w:pPr>
      <w:rPr>
        <w:rFonts w:ascii="Symbol" w:hAnsi="Symbol" w:hint="default"/>
      </w:rPr>
    </w:lvl>
  </w:abstractNum>
  <w:abstractNum w:abstractNumId="6" w15:restartNumberingAfterBreak="0">
    <w:nsid w:val="218D68AC"/>
    <w:multiLevelType w:val="singleLevel"/>
    <w:tmpl w:val="9D4CE058"/>
    <w:lvl w:ilvl="0">
      <w:start w:val="1"/>
      <w:numFmt w:val="bullet"/>
      <w:lvlText w:val=""/>
      <w:lvlJc w:val="left"/>
      <w:pPr>
        <w:tabs>
          <w:tab w:val="num" w:pos="1948"/>
        </w:tabs>
        <w:ind w:left="1928" w:hanging="340"/>
      </w:pPr>
      <w:rPr>
        <w:rFonts w:ascii="Symbol" w:hAnsi="Symbol" w:hint="default"/>
      </w:rPr>
    </w:lvl>
  </w:abstractNum>
  <w:abstractNum w:abstractNumId="7" w15:restartNumberingAfterBreak="0">
    <w:nsid w:val="29EE5CE7"/>
    <w:multiLevelType w:val="multilevel"/>
    <w:tmpl w:val="9ABCCEF0"/>
    <w:lvl w:ilvl="0">
      <w:start w:val="4"/>
      <w:numFmt w:val="decimal"/>
      <w:lvlText w:val="%1."/>
      <w:lvlJc w:val="left"/>
      <w:pPr>
        <w:tabs>
          <w:tab w:val="num" w:pos="720"/>
        </w:tabs>
        <w:ind w:left="720" w:hanging="720"/>
      </w:pPr>
    </w:lvl>
    <w:lvl w:ilvl="1">
      <w:start w:val="19"/>
      <w:numFmt w:val="decimal"/>
      <w:lvlText w:val="%1.%2."/>
      <w:lvlJc w:val="left"/>
      <w:pPr>
        <w:tabs>
          <w:tab w:val="num" w:pos="720"/>
        </w:tabs>
        <w:ind w:left="720" w:hanging="720"/>
      </w:pPr>
      <w:rPr>
        <w:b/>
        <w:i w:val="0"/>
      </w:rPr>
    </w:lvl>
    <w:lvl w:ilvl="2">
      <w:start w:val="1"/>
      <w:numFmt w:val="decimal"/>
      <w:lvlText w:val="%1.%2.%3."/>
      <w:lvlJc w:val="left"/>
      <w:pPr>
        <w:tabs>
          <w:tab w:val="num" w:pos="1440"/>
        </w:tabs>
        <w:ind w:left="1440" w:hanging="720"/>
      </w:pPr>
      <w:rPr>
        <w:b w:val="0"/>
        <w:i w:val="0"/>
      </w:rPr>
    </w:lvl>
    <w:lvl w:ilvl="3">
      <w:start w:val="3"/>
      <w:numFmt w:val="decimal"/>
      <w:lvlText w:val="%1.%2.%3.4"/>
      <w:lvlJc w:val="left"/>
      <w:pPr>
        <w:tabs>
          <w:tab w:val="num" w:pos="2381"/>
        </w:tabs>
        <w:ind w:left="2381" w:hanging="963"/>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AAA0074"/>
    <w:multiLevelType w:val="singleLevel"/>
    <w:tmpl w:val="C3CC1E2E"/>
    <w:lvl w:ilvl="0">
      <w:start w:val="1"/>
      <w:numFmt w:val="bullet"/>
      <w:lvlText w:val=""/>
      <w:lvlJc w:val="left"/>
      <w:pPr>
        <w:tabs>
          <w:tab w:val="num" w:pos="1948"/>
        </w:tabs>
        <w:ind w:left="1928" w:hanging="340"/>
      </w:pPr>
      <w:rPr>
        <w:rFonts w:ascii="Symbol" w:hAnsi="Symbol" w:hint="default"/>
      </w:rPr>
    </w:lvl>
  </w:abstractNum>
  <w:abstractNum w:abstractNumId="9" w15:restartNumberingAfterBreak="0">
    <w:nsid w:val="31096782"/>
    <w:multiLevelType w:val="multilevel"/>
    <w:tmpl w:val="BF4095CE"/>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6"/>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36157C5"/>
    <w:multiLevelType w:val="singleLevel"/>
    <w:tmpl w:val="2AF8B5A8"/>
    <w:lvl w:ilvl="0">
      <w:start w:val="1"/>
      <w:numFmt w:val="bullet"/>
      <w:lvlText w:val=""/>
      <w:lvlJc w:val="left"/>
      <w:pPr>
        <w:tabs>
          <w:tab w:val="num" w:pos="1872"/>
        </w:tabs>
        <w:ind w:left="1872" w:hanging="432"/>
      </w:pPr>
      <w:rPr>
        <w:rFonts w:ascii="Symbol" w:hAnsi="Symbol" w:hint="default"/>
      </w:rPr>
    </w:lvl>
  </w:abstractNum>
  <w:abstractNum w:abstractNumId="11" w15:restartNumberingAfterBreak="0">
    <w:nsid w:val="340319E4"/>
    <w:multiLevelType w:val="multilevel"/>
    <w:tmpl w:val="034847B6"/>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4"/>
      <w:numFmt w:val="decimal"/>
      <w:lvlText w:val="%1.%2.%3."/>
      <w:lvlJc w:val="left"/>
      <w:pPr>
        <w:tabs>
          <w:tab w:val="num" w:pos="1588"/>
        </w:tabs>
        <w:ind w:left="1588" w:hanging="908"/>
      </w:pPr>
      <w:rPr>
        <w:b w:val="0"/>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D55467"/>
    <w:multiLevelType w:val="singleLevel"/>
    <w:tmpl w:val="12E653C0"/>
    <w:lvl w:ilvl="0">
      <w:start w:val="1"/>
      <w:numFmt w:val="bullet"/>
      <w:lvlText w:val=""/>
      <w:lvlJc w:val="left"/>
      <w:pPr>
        <w:tabs>
          <w:tab w:val="num" w:pos="1948"/>
        </w:tabs>
        <w:ind w:left="1928" w:hanging="340"/>
      </w:pPr>
      <w:rPr>
        <w:rFonts w:ascii="Symbol" w:hAnsi="Symbol" w:hint="default"/>
      </w:rPr>
    </w:lvl>
  </w:abstractNum>
  <w:abstractNum w:abstractNumId="13" w15:restartNumberingAfterBreak="0">
    <w:nsid w:val="3ACB3DA6"/>
    <w:multiLevelType w:val="multilevel"/>
    <w:tmpl w:val="D0A03FA8"/>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10"/>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3B9A4437"/>
    <w:multiLevelType w:val="singleLevel"/>
    <w:tmpl w:val="B9769DCE"/>
    <w:lvl w:ilvl="0">
      <w:start w:val="1"/>
      <w:numFmt w:val="bullet"/>
      <w:lvlText w:val=""/>
      <w:lvlJc w:val="left"/>
      <w:pPr>
        <w:tabs>
          <w:tab w:val="num" w:pos="1948"/>
        </w:tabs>
        <w:ind w:left="1928" w:hanging="340"/>
      </w:pPr>
      <w:rPr>
        <w:rFonts w:ascii="Symbol" w:hAnsi="Symbol" w:hint="default"/>
      </w:rPr>
    </w:lvl>
  </w:abstractNum>
  <w:abstractNum w:abstractNumId="15" w15:restartNumberingAfterBreak="0">
    <w:nsid w:val="46B845FB"/>
    <w:multiLevelType w:val="singleLevel"/>
    <w:tmpl w:val="68D4081C"/>
    <w:lvl w:ilvl="0">
      <w:start w:val="1"/>
      <w:numFmt w:val="bullet"/>
      <w:lvlText w:val=""/>
      <w:lvlJc w:val="left"/>
      <w:pPr>
        <w:tabs>
          <w:tab w:val="num" w:pos="1948"/>
        </w:tabs>
        <w:ind w:left="1928" w:hanging="340"/>
      </w:pPr>
      <w:rPr>
        <w:rFonts w:ascii="Symbol" w:hAnsi="Symbol" w:hint="default"/>
      </w:rPr>
    </w:lvl>
  </w:abstractNum>
  <w:abstractNum w:abstractNumId="16" w15:restartNumberingAfterBreak="0">
    <w:nsid w:val="4DBE3E95"/>
    <w:multiLevelType w:val="multilevel"/>
    <w:tmpl w:val="29760E94"/>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6"/>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7DA1721"/>
    <w:multiLevelType w:val="multilevel"/>
    <w:tmpl w:val="B456B476"/>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14"/>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1CA5A9F"/>
    <w:multiLevelType w:val="multilevel"/>
    <w:tmpl w:val="12C68EA6"/>
    <w:lvl w:ilvl="0">
      <w:start w:val="4"/>
      <w:numFmt w:val="decimal"/>
      <w:lvlText w:val="%1."/>
      <w:lvlJc w:val="left"/>
      <w:pPr>
        <w:tabs>
          <w:tab w:val="num" w:pos="360"/>
        </w:tabs>
        <w:ind w:left="360" w:hanging="360"/>
      </w:pPr>
    </w:lvl>
    <w:lvl w:ilvl="1">
      <w:start w:val="18"/>
      <w:numFmt w:val="decimal"/>
      <w:lvlText w:val="%1.%2."/>
      <w:lvlJc w:val="left"/>
      <w:pPr>
        <w:tabs>
          <w:tab w:val="num" w:pos="680"/>
        </w:tabs>
        <w:ind w:left="680" w:hanging="680"/>
      </w:pPr>
      <w:rPr>
        <w:b/>
        <w:i w:val="0"/>
      </w:rPr>
    </w:lvl>
    <w:lvl w:ilvl="2">
      <w:start w:val="1"/>
      <w:numFmt w:val="decimal"/>
      <w:lvlText w:val="%1.%2.%3."/>
      <w:lvlJc w:val="left"/>
      <w:pPr>
        <w:tabs>
          <w:tab w:val="num" w:pos="1588"/>
        </w:tabs>
        <w:ind w:left="1588" w:hanging="908"/>
      </w:pPr>
      <w:rPr>
        <w:b w:val="0"/>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8072ABE"/>
    <w:multiLevelType w:val="singleLevel"/>
    <w:tmpl w:val="18E2F72A"/>
    <w:lvl w:ilvl="0">
      <w:start w:val="1"/>
      <w:numFmt w:val="bullet"/>
      <w:lvlText w:val=""/>
      <w:lvlJc w:val="left"/>
      <w:pPr>
        <w:tabs>
          <w:tab w:val="num" w:pos="1948"/>
        </w:tabs>
        <w:ind w:left="1928" w:hanging="340"/>
      </w:pPr>
      <w:rPr>
        <w:rFonts w:ascii="Symbol" w:hAnsi="Symbol" w:hint="default"/>
      </w:rPr>
    </w:lvl>
  </w:abstractNum>
  <w:abstractNum w:abstractNumId="20" w15:restartNumberingAfterBreak="0">
    <w:nsid w:val="70761F1C"/>
    <w:multiLevelType w:val="multilevel"/>
    <w:tmpl w:val="E65AB060"/>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15"/>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77567A58"/>
    <w:multiLevelType w:val="multilevel"/>
    <w:tmpl w:val="74C296BA"/>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7"/>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7C897069"/>
    <w:multiLevelType w:val="multilevel"/>
    <w:tmpl w:val="F8881EDC"/>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1"/>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7ECA64AF"/>
    <w:multiLevelType w:val="multilevel"/>
    <w:tmpl w:val="1E565032"/>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9"/>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1318221654">
    <w:abstractNumId w:val="18"/>
  </w:num>
  <w:num w:numId="2" w16cid:durableId="1596982749">
    <w:abstractNumId w:val="11"/>
  </w:num>
  <w:num w:numId="3" w16cid:durableId="357586540">
    <w:abstractNumId w:val="2"/>
  </w:num>
  <w:num w:numId="4" w16cid:durableId="1022130338">
    <w:abstractNumId w:val="5"/>
  </w:num>
  <w:num w:numId="5" w16cid:durableId="778185588">
    <w:abstractNumId w:val="19"/>
  </w:num>
  <w:num w:numId="6" w16cid:durableId="837034610">
    <w:abstractNumId w:val="6"/>
  </w:num>
  <w:num w:numId="7" w16cid:durableId="904992993">
    <w:abstractNumId w:val="12"/>
  </w:num>
  <w:num w:numId="8" w16cid:durableId="665405986">
    <w:abstractNumId w:val="8"/>
  </w:num>
  <w:num w:numId="9" w16cid:durableId="1141507749">
    <w:abstractNumId w:val="14"/>
  </w:num>
  <w:num w:numId="10" w16cid:durableId="572743183">
    <w:abstractNumId w:val="15"/>
  </w:num>
  <w:num w:numId="11" w16cid:durableId="957179871">
    <w:abstractNumId w:val="3"/>
  </w:num>
  <w:num w:numId="12" w16cid:durableId="769087073">
    <w:abstractNumId w:val="1"/>
  </w:num>
  <w:num w:numId="13" w16cid:durableId="516425583">
    <w:abstractNumId w:val="7"/>
  </w:num>
  <w:num w:numId="14" w16cid:durableId="1604723091">
    <w:abstractNumId w:val="22"/>
  </w:num>
  <w:num w:numId="15" w16cid:durableId="960919736">
    <w:abstractNumId w:val="0"/>
  </w:num>
  <w:num w:numId="16" w16cid:durableId="127822589">
    <w:abstractNumId w:val="16"/>
  </w:num>
  <w:num w:numId="17" w16cid:durableId="958608746">
    <w:abstractNumId w:val="23"/>
  </w:num>
  <w:num w:numId="18" w16cid:durableId="1429043117">
    <w:abstractNumId w:val="13"/>
  </w:num>
  <w:num w:numId="19" w16cid:durableId="1745294873">
    <w:abstractNumId w:val="4"/>
  </w:num>
  <w:num w:numId="20" w16cid:durableId="1909732073">
    <w:abstractNumId w:val="17"/>
  </w:num>
  <w:num w:numId="21" w16cid:durableId="1442607911">
    <w:abstractNumId w:val="10"/>
  </w:num>
  <w:num w:numId="22" w16cid:durableId="11609696">
    <w:abstractNumId w:val="20"/>
  </w:num>
  <w:num w:numId="23" w16cid:durableId="2049573193">
    <w:abstractNumId w:val="9"/>
  </w:num>
  <w:num w:numId="24" w16cid:durableId="20072402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3F"/>
    <w:rsid w:val="000B2724"/>
    <w:rsid w:val="00747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7E270F-509D-44EA-B773-5CCDDAE7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outlineLvl w:val="0"/>
    </w:pPr>
    <w:rPr>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lang w:val="en-US"/>
    </w:rPr>
  </w:style>
  <w:style w:type="paragraph" w:styleId="BodyTextIndent2">
    <w:name w:val="Body Text Indent 2"/>
    <w:basedOn w:val="Normal"/>
    <w:semiHidden/>
    <w:pPr>
      <w:ind w:left="709" w:firstLine="11"/>
    </w:pPr>
    <w:rPr>
      <w:b/>
      <w:lang w:val="en-US"/>
    </w:r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DRAFT</vt:lpstr>
    </vt:vector>
  </TitlesOfParts>
  <Company>I&amp;S</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Donna Oates</dc:creator>
  <cp:keywords/>
  <dc:description/>
  <cp:lastModifiedBy>Peter Collins</cp:lastModifiedBy>
  <cp:revision>2</cp:revision>
  <cp:lastPrinted>2000-01-19T11:17:00Z</cp:lastPrinted>
  <dcterms:created xsi:type="dcterms:W3CDTF">2023-06-02T09:47:00Z</dcterms:created>
  <dcterms:modified xsi:type="dcterms:W3CDTF">2023-06-02T09:47:00Z</dcterms:modified>
</cp:coreProperties>
</file>