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ec:reportinguncertainties"/>
      <w:bookmarkEnd w:id="21"/>
      <w:r>
        <w:t xml:space="preserve">Reporting</w:t>
      </w:r>
      <w:r>
        <w:t xml:space="preserve"> </w:t>
      </w:r>
      <w:r>
        <w:rPr>
          <w:vertAlign w:val="superscript"/>
        </w:rPr>
        <w:t xml:space="preserve">40</w:t>
      </w:r>
      <w:r>
        <w:t xml:space="preserve">Ar/</w:t>
      </w:r>
      <w:r>
        <w:rPr>
          <w:vertAlign w:val="superscript"/>
        </w:rPr>
        <w:t xml:space="preserve">39</w:t>
      </w:r>
      <w:r>
        <w:t xml:space="preserve">Ar uncertainties</w:t>
      </w:r>
    </w:p>
    <w:p>
      <w:pPr>
        <w:pStyle w:val="Heading3"/>
      </w:pPr>
      <w:bookmarkStart w:id="22" w:name="sec:MSWD"/>
      <w:bookmarkEnd w:id="22"/>
      <w:r>
        <w:t xml:space="preserve">Assessing goodness of fit: pitfalls and opportunities</w:t>
      </w:r>
    </w:p>
    <w:p>
      <w:pPr>
        <w:pStyle w:val="FirstParagraph"/>
      </w:pPr>
      <w:r>
        <w:t xml:space="preserve">The random scatter of the data around an isochron or weighted mean fit</w:t>
      </w:r>
      <w:r>
        <w:t xml:space="preserve"> </w:t>
      </w:r>
      <w:r>
        <w:t xml:space="preserve">can be assessed using the Mean Square of the Weighted Deviates (MSWD,</w:t>
      </w:r>
      <w:r>
        <w:t xml:space="preserve"> </w:t>
      </w:r>
      <w:r>
        <w:t xml:space="preserve">McIntyre et al., 1960). This statistic is more generally known as the</w:t>
      </w:r>
      <w:r>
        <w:t xml:space="preserve"> </w:t>
      </w:r>
      <w:r>
        <w:t xml:space="preserve">‘</w:t>
      </w:r>
      <w:r>
        <w:t xml:space="preserve">reduced Chi-square statistic</w:t>
      </w:r>
      <w:r>
        <w:t xml:space="preserve">’</w:t>
      </w:r>
      <w:r>
        <w:t xml:space="preserve"> </w:t>
      </w:r>
      <w:r>
        <w:t xml:space="preserve">outside geology. The MSWD is defined as</w:t>
      </w:r>
      <w:r>
        <w:t xml:space="preserve"> </w:t>
      </w:r>
      <w:r>
        <w:t xml:space="preserve">the sum of the squared differences between the observed and the</w:t>
      </w:r>
      <w:r>
        <w:t xml:space="preserve"> </w:t>
      </w:r>
      <w:r>
        <w:t xml:space="preserve">expected values, normalised by the analytical uncertainties and</w:t>
      </w:r>
      <w:r>
        <w:t xml:space="preserve"> </w:t>
      </w:r>
      <w:r>
        <w:t xml:space="preserve">divided by the degrees of freedom of the fit. In the context of the</w:t>
      </w:r>
      <w:r>
        <w:t xml:space="preserve"> </w:t>
      </w:r>
      <w:r>
        <w:t xml:space="preserve">weighted mean age, the MSWD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values is given by: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</m:t>
          </m:r>
          <m:r>
            <m:rPr>
              <m:sty m:val="p"/>
            </m:rPr>
            <m:t>S</m:t>
          </m:r>
          <m:r>
            <m:rPr>
              <m:sty m:val="p"/>
            </m:rPr>
            <m:t>W</m:t>
          </m:r>
          <m:r>
            <m:rPr>
              <m:sty m:val="p"/>
            </m:rPr>
            <m:t>D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d</m:t>
              </m:r>
              <m:r>
                <m:t>f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m:t>σ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nary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i</m:t>
        </m:r>
      </m:oMath>
      <w:r>
        <w:rPr>
          <w:vertAlign w:val="superscript"/>
        </w:rPr>
        <w:t xml:space="preserve">th</w:t>
      </w:r>
      <w:r>
        <w:t xml:space="preserve"> </w:t>
      </w:r>
      <w:r>
        <w:t xml:space="preserve">(out of</w:t>
      </w:r>
      <w:r>
        <w:t xml:space="preserve"> </w:t>
      </w:r>
      <m:oMath>
        <m:r>
          <m:t>n</m:t>
        </m:r>
      </m:oMath>
      <w:r>
        <w:t xml:space="preserve">)</w:t>
      </w:r>
      <w:r>
        <w:t xml:space="preserve"> </w:t>
      </w:r>
      <w:r>
        <w:t xml:space="preserve">dates,</w:t>
      </w:r>
      <w:r>
        <w:t xml:space="preserve"> </w:t>
      </w:r>
      <m:oMath>
        <m:sSub>
          <m:e>
            <m:r>
              <m:t>σ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corresponding analytical uncertainty,</w:t>
      </w:r>
      <w:r>
        <w:t xml:space="preserve"> </w:t>
      </w:r>
      <m:oMath>
        <m:r>
          <m:t>d</m:t>
        </m:r>
        <m:r>
          <m:t>f</m:t>
        </m:r>
        <m:r>
          <m:t>=</m:t>
        </m:r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is the number of degrees of freedom, and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is the</w:t>
      </w:r>
      <w:r>
        <w:t xml:space="preserve"> </w:t>
      </w:r>
      <w:r>
        <w:t xml:space="preserve">weighted mean of all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dates. The definition for the MSWD of an</w:t>
      </w:r>
      <w:r>
        <w:t xml:space="preserve"> </w:t>
      </w:r>
      <w:r>
        <w:t xml:space="preserve">isochron is similar but has one fewer degree of freedom (</w:t>
      </w:r>
      <m:oMath>
        <m:r>
          <m:t>d</m:t>
        </m:r>
        <m:r>
          <m:t>f</m:t>
        </m:r>
        <m:r>
          <m:t>=</m:t>
        </m:r>
        <m:r>
          <m:t>n</m:t>
        </m:r>
        <m:r>
          <m:t>−</m:t>
        </m:r>
        <m:r>
          <m:t>2</m:t>
        </m:r>
      </m:oMath>
      <w:r>
        <w:t xml:space="preserve">)</w:t>
      </w:r>
      <w:r>
        <w:t xml:space="preserve"> </w:t>
      </w:r>
      <w:r>
        <w:t xml:space="preserve">and involves a few more terms to account for correlated uncertainties</w:t>
      </w:r>
      <w:r>
        <w:t xml:space="preserve"> </w:t>
      </w:r>
      <w:r>
        <w:t xml:space="preserve">between the x- and y-variable. The following are general MSWD</w:t>
      </w:r>
      <w:r>
        <w:t xml:space="preserve"> </w:t>
      </w:r>
      <w:r>
        <w:t xml:space="preserve">considerations:</w:t>
      </w:r>
    </w:p>
    <w:p>
      <w:pPr>
        <w:numPr>
          <w:numId w:val="1001"/>
          <w:ilvl w:val="0"/>
        </w:numPr>
      </w:pPr>
      <w:r>
        <w:t xml:space="preserve">If the analytical uncertainties</w:t>
      </w:r>
      <w:r>
        <w:t xml:space="preserve"> </w:t>
      </w:r>
      <m:oMath>
        <m:sSub>
          <m:e>
            <m:r>
              <m:t>σ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 the only source</w:t>
      </w:r>
      <w:r>
        <w:t xml:space="preserve"> </w:t>
      </w:r>
      <w:r>
        <w:t xml:space="preserve">of scatter between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aliquots, and</w:t>
      </w:r>
      <w:r>
        <w:t xml:space="preserve"> </w:t>
      </w:r>
      <m:oMath>
        <m:r>
          <m:t>d</m:t>
        </m:r>
        <m:r>
          <m:t>f</m:t>
        </m:r>
      </m:oMath>
      <w:r>
        <w:t xml:space="preserve"> </w:t>
      </w:r>
      <w:r>
        <w:t xml:space="preserve">is reasonably large</w:t>
      </w:r>
      <w:r>
        <w:t xml:space="preserve"> </w:t>
      </w:r>
      <w:r>
        <w:t xml:space="preserve">(for</w:t>
      </w:r>
      <w:r>
        <w:t xml:space="preserve"> </w:t>
      </w:r>
      <m:oMath>
        <m:r>
          <m:t>n</m:t>
        </m:r>
        <m:r>
          <m:t>&gt;</m:t>
        </m:r>
        <m:r>
          <m:t>20</m:t>
        </m:r>
      </m:oMath>
      <w:r>
        <w:t xml:space="preserve">, say) then MSWD</w:t>
      </w:r>
      <m:oMath>
        <m:r>
          <m:t>≈</m:t>
        </m:r>
      </m:oMath>
      <w:r>
        <w:t xml:space="preserve">1 (Fig. 5A,B). For smaller</w:t>
      </w:r>
      <w:r>
        <w:t xml:space="preserve"> </w:t>
      </w:r>
      <w:r>
        <w:t xml:space="preserve">sample sizes, the MSWD has a much wider distribution with an</w:t>
      </w:r>
      <w:r>
        <w:t xml:space="preserve"> </w:t>
      </w:r>
      <w:r>
        <w:t xml:space="preserve">expected value of less than one (Wendt and Carl, 1991; Mahon</w:t>
      </w:r>
      <w:r>
        <w:t xml:space="preserve"> </w:t>
      </w:r>
      <w:r>
        <w:t xml:space="preserve">1996). Figure 1 of the Supplementary Information shows the</w:t>
      </w:r>
      <w:r>
        <w:t xml:space="preserve"> </w:t>
      </w:r>
      <w:r>
        <w:t xml:space="preserve">probability distribution of the MSWD for different sample sizes.</w:t>
      </w:r>
      <w:r>
        <w:t xml:space="preserve"> </w:t>
      </w:r>
      <w:r>
        <w:t xml:space="preserve">The remainder of this section will assume that</w:t>
      </w:r>
      <w:r>
        <w:t xml:space="preserve"> </w:t>
      </w:r>
      <m:oMath>
        <m:r>
          <m:t>n</m:t>
        </m:r>
        <m:r>
          <m:t>&gt;</m:t>
        </m:r>
        <m:r>
          <m:t>20</m:t>
        </m:r>
      </m:oMath>
      <w:r>
        <w:t xml:space="preserve">.</w:t>
      </w:r>
    </w:p>
    <w:p>
      <w:pPr>
        <w:numPr>
          <w:numId w:val="1001"/>
          <w:ilvl w:val="0"/>
        </w:numPr>
      </w:pPr>
      <w:r>
        <w:t xml:space="preserve">MSWD values that approach zero indicate that analytical</w:t>
      </w:r>
      <w:r>
        <w:t xml:space="preserve"> </w:t>
      </w:r>
      <w:r>
        <w:t xml:space="preserve">uncertainties have been overestimated or have not been propagated</w:t>
      </w:r>
      <w:r>
        <w:t xml:space="preserve"> </w:t>
      </w:r>
      <w:r>
        <w:t xml:space="preserve">correctly (Fig. 5B,C). Assigning ages to samples based on such</w:t>
      </w:r>
      <w:r>
        <w:t xml:space="preserve"> </w:t>
      </w:r>
      <w:r>
        <w:rPr>
          <w:i/>
        </w:rPr>
        <w:t xml:space="preserve">underdispersed</w:t>
      </w:r>
      <w:r>
        <w:t xml:space="preserve"> </w:t>
      </w:r>
      <w:r>
        <w:t xml:space="preserve">data should be done with caution.</w:t>
      </w:r>
    </w:p>
    <w:p>
      <w:pPr>
        <w:numPr>
          <w:numId w:val="1001"/>
          <w:ilvl w:val="0"/>
        </w:numPr>
      </w:pPr>
      <w:r>
        <w:t xml:space="preserve">MSWD-values considerably greater than one indicate that there is</w:t>
      </w:r>
      <w:r>
        <w:t xml:space="preserve"> </w:t>
      </w:r>
      <w:r>
        <w:t xml:space="preserve">some excess scatter in the data, which cannot be explained by the</w:t>
      </w:r>
      <w:r>
        <w:t xml:space="preserve"> </w:t>
      </w:r>
      <w:r>
        <w:t xml:space="preserve">analytical uncertainties alone. This may reflect underestimation of</w:t>
      </w:r>
      <w:r>
        <w:t xml:space="preserve"> </w:t>
      </w:r>
      <w:r>
        <w:t xml:space="preserve">analytical uncertainties, but usually reflects the presence of some</w:t>
      </w:r>
      <w:r>
        <w:t xml:space="preserve"> </w:t>
      </w:r>
      <w:r>
        <w:t xml:space="preserve">geological</w:t>
      </w:r>
      <w:r>
        <w:t xml:space="preserve"> </w:t>
      </w:r>
      <w:r>
        <w:rPr>
          <w:i/>
        </w:rPr>
        <w:t xml:space="preserve">(over)dispersion</w:t>
      </w:r>
      <w:r>
        <w:t xml:space="preserve"> </w:t>
      </w:r>
      <w:r>
        <w:t xml:space="preserve">affecting the dataset and/or</w:t>
      </w:r>
      <w:r>
        <w:t xml:space="preserve"> </w:t>
      </w:r>
      <w:r>
        <w:t xml:space="preserve">neutron fluence gradients. Possible causes of such dispersion may</w:t>
      </w:r>
      <w:r>
        <w:t xml:space="preserve"> </w:t>
      </w:r>
      <w:r>
        <w:t xml:space="preserve">include the protracted crystallization history of a sample, variable</w:t>
      </w:r>
      <w:r>
        <w:t xml:space="preserve"> </w:t>
      </w:r>
      <w:r>
        <w:t xml:space="preserve">degrees of inheritance, or partial loss of radiogenic</w:t>
      </w:r>
      <w:r>
        <w:t xml:space="preserve"> </w:t>
      </w:r>
      <w:r>
        <w:rPr>
          <w:vertAlign w:val="superscript"/>
        </w:rPr>
        <w:t xml:space="preserve">40</w:t>
      </w:r>
      <w:r>
        <w:t xml:space="preserve">Ar by retrograde reactions, thermally activated</w:t>
      </w:r>
      <w:r>
        <w:t xml:space="preserve"> </w:t>
      </w:r>
      <w:r>
        <w:t xml:space="preserve">volume diffusion, deformation, or chemical alteration (Fig. D,E).</w:t>
      </w:r>
    </w:p>
    <w:p>
      <w:pPr>
        <w:pStyle w:val="FirstParagraph"/>
      </w:pPr>
      <w:r>
        <w:t xml:space="preserve">It would be wrong to believe that only datasets with MSWD</w:t>
      </w:r>
      <m:oMath>
        <m:r>
          <m:t>≈</m:t>
        </m:r>
      </m:oMath>
      <w:r>
        <w:t xml:space="preserve">1</w:t>
      </w:r>
      <w:r>
        <w:t xml:space="preserve"> </w:t>
      </w:r>
      <w:r>
        <w:t xml:space="preserve">are suitable for publication. Trimming an overdispersed dataset by</w:t>
      </w:r>
      <w:r>
        <w:t xml:space="preserve"> </w:t>
      </w:r>
      <w:r>
        <w:t xml:space="preserve">selectively rejecting outliers until achieving an MSWD</w:t>
      </w:r>
      <m:oMath>
        <m:r>
          <m:t>≈</m:t>
        </m:r>
      </m:oMath>
      <w:r>
        <w:t xml:space="preserve">1 is</w:t>
      </w:r>
      <w:r>
        <w:t xml:space="preserve"> </w:t>
      </w:r>
      <w:r>
        <w:t xml:space="preserve">likely ill-advised as this risks the loss of geologically valuable</w:t>
      </w:r>
      <w:r>
        <w:t xml:space="preserve"> </w:t>
      </w:r>
      <w:r>
        <w:t xml:space="preserve">information and biasing the results. Outlier identification and</w:t>
      </w:r>
      <w:r>
        <w:t xml:space="preserve"> </w:t>
      </w:r>
      <w:r>
        <w:t xml:space="preserve">rejection must always be accompanied by full disclosure of the</w:t>
      </w:r>
      <w:r>
        <w:t xml:space="preserve"> </w:t>
      </w:r>
      <w:r>
        <w:t xml:space="preserve">specific criteria used for such evaluation, and not simply to improve</w:t>
      </w:r>
      <w:r>
        <w:t xml:space="preserve"> </w:t>
      </w:r>
      <w:r>
        <w:t xml:space="preserve">the statistics of a dataset. High MSWD values do not necessarily</w:t>
      </w:r>
      <w:r>
        <w:t xml:space="preserve"> </w:t>
      </w:r>
      <w:r>
        <w:t xml:space="preserve">indicate poor data. In fact, with modern-day high-precision mass</w:t>
      </w:r>
      <w:r>
        <w:t xml:space="preserve"> </w:t>
      </w:r>
      <w:r>
        <w:t xml:space="preserve">spectrometery, a higher MSWD may simply reflect the achieved higher</w:t>
      </w:r>
      <w:r>
        <w:t xml:space="preserve"> </w:t>
      </w:r>
      <w:r>
        <w:t xml:space="preserve">analytical precision of the data. Increasingly dispersed datasets are</w:t>
      </w:r>
      <w:r>
        <w:t xml:space="preserve"> </w:t>
      </w:r>
      <w:r>
        <w:t xml:space="preserve">likely to become even more prevalent in the future, as a result of the</w:t>
      </w:r>
      <w:r>
        <w:t xml:space="preserve"> </w:t>
      </w:r>
      <w:r>
        <w:t xml:space="preserve">ever-increasing improvements of mass spectrometers. In this case, the</w:t>
      </w:r>
      <w:r>
        <w:t xml:space="preserve"> </w:t>
      </w:r>
      <w:r>
        <w:t xml:space="preserve">excess dispersion can be formally assessed with a Chi-square test for</w:t>
      </w:r>
      <w:r>
        <w:t xml:space="preserve"> </w:t>
      </w:r>
      <w:r>
        <w:t xml:space="preserve">homogeneity, and its associated p-value, in the case the experiments</w:t>
      </w:r>
      <w:r>
        <w:t xml:space="preserve"> </w:t>
      </w:r>
      <w:r>
        <w:t xml:space="preserve">were carried out with large number of heating steps or total fusions</w:t>
      </w:r>
      <w:r>
        <w:t xml:space="preserve"> </w:t>
      </w:r>
      <w:r>
        <w:t xml:space="preserve">of single crystals. However, unpowered (sensu Cohen, 1992) statistical</w:t>
      </w:r>
      <w:r>
        <w:t xml:space="preserve"> </w:t>
      </w:r>
      <w:r>
        <w:t xml:space="preserve">hypothesis tests have come under criticism in recent years, and</w:t>
      </w:r>
      <w:r>
        <w:t xml:space="preserve"> </w:t>
      </w:r>
      <w:r>
        <w:t xml:space="preserve">scientists are increasingly advised not use them (Wasserstein and</w:t>
      </w:r>
      <w:r>
        <w:t xml:space="preserve"> </w:t>
      </w:r>
      <w:r>
        <w:t xml:space="preserve">Lazar, 2016; Amrhein et al., 2019).</w:t>
      </w:r>
      <w:r>
        <w:br w:type="textWrapping"/>
      </w:r>
      <w:r>
        <w:t xml:space="preserve">Dispersed datasets should always be evaluated carefully on a case by</w:t>
      </w:r>
      <w:r>
        <w:t xml:space="preserve"> </w:t>
      </w:r>
      <w:r>
        <w:t xml:space="preserve">case basis, and any conclusions based on dispersed data should be done</w:t>
      </w:r>
      <w:r>
        <w:t xml:space="preserve"> </w:t>
      </w:r>
      <w:r>
        <w:t xml:space="preserve">with caution. It is important to attempt to consider the potential</w:t>
      </w:r>
      <w:r>
        <w:t xml:space="preserve"> </w:t>
      </w:r>
      <w:r>
        <w:t xml:space="preserve">causes (geologic, analytical, mineralogic, etc.) of the data</w:t>
      </w:r>
      <w:r>
        <w:t xml:space="preserve"> </w:t>
      </w:r>
      <w:r>
        <w:t xml:space="preserve">dispersion (e.g., Verati and Jourdan, 2014; Phillips et al., 2017). In</w:t>
      </w:r>
      <w:r>
        <w:t xml:space="preserve"> </w:t>
      </w:r>
      <w:r>
        <w:t xml:space="preserve">some cases, a subset of a dispersed dataset can be used to assign an</w:t>
      </w:r>
      <w:r>
        <w:t xml:space="preserve"> </w:t>
      </w:r>
      <w:r>
        <w:t xml:space="preserve">age for a sample given sufficient geologic context. For example,</w:t>
      </w:r>
      <w:r>
        <w:t xml:space="preserve"> </w:t>
      </w:r>
      <w:r>
        <w:t xml:space="preserve">single crystal fusion dates from a volcaniclastic layer intercalated</w:t>
      </w:r>
      <w:r>
        <w:t xml:space="preserve"> </w:t>
      </w:r>
      <w:r>
        <w:t xml:space="preserve">within a fluvio-lacustrine succession along the Tiber River, Italy</w:t>
      </w:r>
      <w:r>
        <w:t xml:space="preserve"> </w:t>
      </w:r>
      <w:r>
        <w:t xml:space="preserve">show significant dispersion (MSWD = 603; Marra et al., 2019). The</w:t>
      </w:r>
      <w:r>
        <w:t xml:space="preserve"> </w:t>
      </w:r>
      <w:r>
        <w:t xml:space="preserve">volcaniclastic layer has lithologic and mineralogic characteristics</w:t>
      </w:r>
      <w:r>
        <w:t xml:space="preserve"> </w:t>
      </w:r>
      <w:r>
        <w:t xml:space="preserve">that are nearly identical to another volcaniclastic layer located   6</w:t>
      </w:r>
      <w:r>
        <w:t xml:space="preserve"> </w:t>
      </w:r>
      <w:r>
        <w:t xml:space="preserve">km to the northwest that was dated at 327.5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3.5 ka. The youngest</w:t>
      </w:r>
      <w:r>
        <w:t xml:space="preserve"> </w:t>
      </w:r>
      <w:r>
        <w:t xml:space="preserve">six</w:t>
      </w:r>
      <w:r>
        <w:t xml:space="preserve"> </w:t>
      </w:r>
      <w:r>
        <w:rPr>
          <w:vertAlign w:val="superscript"/>
        </w:rPr>
        <w:t xml:space="preserve">40</w:t>
      </w:r>
      <w:r>
        <w:t xml:space="preserve">Ar/</w:t>
      </w:r>
      <w:r>
        <w:rPr>
          <w:vertAlign w:val="superscript"/>
        </w:rPr>
        <w:t xml:space="preserve">39</w:t>
      </w:r>
      <w:r>
        <w:t xml:space="preserve">Ar dates of the</w:t>
      </w:r>
      <w:r>
        <w:t xml:space="preserve"> </w:t>
      </w:r>
      <w:r>
        <w:t xml:space="preserve">dispersed dataset give a weighted mean age of 328.7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1.6 ka,</w:t>
      </w:r>
      <w:r>
        <w:t xml:space="preserve"> </w:t>
      </w:r>
      <w:r>
        <w:t xml:space="preserve">which led Marra et al. 2019 to conclude that the two dated</w:t>
      </w:r>
      <w:r>
        <w:t xml:space="preserve"> </w:t>
      </w:r>
      <w:r>
        <w:t xml:space="preserve">volcaniclastic layers are indeed identical and have been tectonically</w:t>
      </w:r>
      <w:r>
        <w:t xml:space="preserve"> </w:t>
      </w:r>
      <w:r>
        <w:t xml:space="preserve">displaced by 50 meters.</w:t>
      </w:r>
      <w:r>
        <w:br w:type="textWrapping"/>
      </w:r>
      <w:r>
        <w:t xml:space="preserve">When no potential sources of data dispersion can be confidently</w:t>
      </w:r>
      <w:r>
        <w:t xml:space="preserve"> </w:t>
      </w:r>
      <w:r>
        <w:t xml:space="preserve">identified, it can be assumed that the excess dispersion is</w:t>
      </w:r>
      <w:r>
        <w:t xml:space="preserve"> </w:t>
      </w:r>
      <w:r>
        <w:t xml:space="preserve">multiplicative and scales in proportion to the analytical</w:t>
      </w:r>
      <w:r>
        <w:t xml:space="preserve"> </w:t>
      </w:r>
      <w:r>
        <w:t xml:space="preserve">uncertainty. In this case, the standard error of the weighted mean or</w:t>
      </w:r>
      <w:r>
        <w:t xml:space="preserve"> </w:t>
      </w:r>
      <w:r>
        <w:t xml:space="preserve">isochron intercept may be augmented by multiplying it with the square</w:t>
      </w:r>
      <w:r>
        <w:t xml:space="preserve"> </w:t>
      </w:r>
      <w:r>
        <w:t xml:space="preserve">root of the MSWD (Ludwig, 2003). A second option is to parameterize</w:t>
      </w:r>
      <w:r>
        <w:t xml:space="preserve"> </w:t>
      </w:r>
      <w:r>
        <w:t xml:space="preserve">the overdispersion as an additive term and estimate it as a separate</w:t>
      </w:r>
      <w:r>
        <w:t xml:space="preserve"> </w:t>
      </w:r>
      <w:r>
        <w:t xml:space="preserve">parameter (Galbraith and Laslett, 1993; Vermeesch, 2018).</w:t>
      </w:r>
      <w:r>
        <w:br w:type="textWrapping"/>
      </w:r>
      <w:r>
        <w:rPr>
          <w:b/>
        </w:rPr>
        <w:t xml:space="preserve">Additional references:</w:t>
      </w:r>
      <w:r>
        <w:br w:type="textWrapping"/>
      </w:r>
      <w:r>
        <w:t xml:space="preserve">Cohen, J., 1992. A power primer. Psychological bulletin, 112(1),</w:t>
      </w:r>
      <w:r>
        <w:t xml:space="preserve"> </w:t>
      </w:r>
      <w:r>
        <w:t xml:space="preserve">p.155.</w:t>
      </w:r>
      <w:r>
        <w:br w:type="textWrapping"/>
      </w:r>
      <w:r>
        <w:t xml:space="preserve">Galbraith, R.F. and Laslett, G.M., 1993. Statistical models for mixed</w:t>
      </w:r>
      <w:r>
        <w:t xml:space="preserve"> </w:t>
      </w:r>
      <w:r>
        <w:t xml:space="preserve">fission track ages. Nuclear tracks and radiation measurements, 21(4),</w:t>
      </w:r>
      <w:r>
        <w:t xml:space="preserve"> </w:t>
      </w:r>
      <w:r>
        <w:t xml:space="preserve">pp.459-470.</w:t>
      </w:r>
      <w:r>
        <w:br w:type="textWrapping"/>
      </w:r>
      <w:r>
        <w:t xml:space="preserve">Ludwig, K.R., 2003. Mathematical–statistical treatment of data and</w:t>
      </w:r>
      <w:r>
        <w:t xml:space="preserve"> </w:t>
      </w:r>
      <w:r>
        <w:t xml:space="preserve">errors for</w:t>
      </w:r>
      <w:r>
        <w:t xml:space="preserve"> </w:t>
      </w:r>
      <w:r>
        <w:rPr>
          <w:vertAlign w:val="superscript"/>
        </w:rPr>
        <w:t xml:space="preserve">230</w:t>
      </w:r>
      <w:r>
        <w:t xml:space="preserve">Th/U geochronology. Reviews in</w:t>
      </w:r>
      <w:r>
        <w:t xml:space="preserve"> </w:t>
      </w:r>
      <w:r>
        <w:t xml:space="preserve">Mineralogy and Geochemistry, 52(1), pp.631-656.</w:t>
      </w:r>
      <w:r>
        <w:br w:type="textWrapping"/>
      </w:r>
      <w:r>
        <w:rPr>
          <w:b/>
        </w:rPr>
        <w:t xml:space="preserve">Supplementary Figure:</w:t>
      </w:r>
      <w:r>
        <w:br w:type="textWrapping"/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Probability distribution for the Mean Square of the Weighted Deviates (MSWD) for different degrees of freedom. Small samples (df&lt;20) are characterised by skewed and broadly distributed MSWD distributions whose mean, median and mode are all less than 1. With increasing sample size (df&gt;20), the probability distribution of the MSWD becomes more symmetric converges to an expected value of MSWD\approx1. " title="" id="1" name="Picture"/>
            <a:graphic>
              <a:graphicData uri="http://schemas.openxmlformats.org/drawingml/2006/picture">
                <pic:pic>
                  <pic:nvPicPr>
                    <pic:cNvPr descr="MSWDdistribution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Probability distribution for the Mean Square of the</w:t>
      </w:r>
      <w:r>
        <w:t xml:space="preserve"> </w:t>
      </w:r>
      <w:r>
        <w:t xml:space="preserve">Weighted Deviates (MSWD) for different degrees of freedom. Small</w:t>
      </w:r>
      <w:r>
        <w:t xml:space="preserve"> </w:t>
      </w:r>
      <w:r>
        <w:t xml:space="preserve">samples (</w:t>
      </w:r>
      <m:oMath>
        <m:r>
          <m:t>d</m:t>
        </m:r>
        <m:r>
          <m:t>f</m:t>
        </m:r>
        <m:r>
          <m:t>&lt;</m:t>
        </m:r>
        <m:r>
          <m:t>20</m:t>
        </m:r>
      </m:oMath>
      <w:r>
        <w:t xml:space="preserve">) are characterised by skewed and broadly</w:t>
      </w:r>
      <w:r>
        <w:t xml:space="preserve"> </w:t>
      </w:r>
      <w:r>
        <w:t xml:space="preserve">distributed MSWD distributions whose mean, median and mode are all</w:t>
      </w:r>
      <w:r>
        <w:t xml:space="preserve"> </w:t>
      </w:r>
      <w:r>
        <w:t xml:space="preserve">less than 1. With increasing sample size (</w:t>
      </w:r>
      <m:oMath>
        <m:r>
          <m:t>d</m:t>
        </m:r>
        <m:r>
          <m:t>f</m:t>
        </m:r>
        <m:r>
          <m:t>&gt;</m:t>
        </m:r>
        <m:r>
          <m:t>20</m:t>
        </m:r>
      </m:oMath>
      <w:r>
        <w:t xml:space="preserve">), the</w:t>
      </w:r>
      <w:r>
        <w:t xml:space="preserve"> </w:t>
      </w:r>
      <w:r>
        <w:t xml:space="preserve">probability distribution of the MSWD becomes more symmetric</w:t>
      </w:r>
      <w:r>
        <w:t xml:space="preserve"> </w:t>
      </w:r>
      <w:r>
        <w:t xml:space="preserve">converges to an expected value of MSWD</w:t>
      </w:r>
      <m:oMath>
        <m:r>
          <m:t>≈</m:t>
        </m:r>
      </m:oMath>
      <w:r>
        <w:t xml:space="preserve">1.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1b65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5950b79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2019-11-08T22:02:03Z</dcterms:created>
  <dcterms:modified xsi:type="dcterms:W3CDTF">2019-11-08T22:02:03Z</dcterms:modified>
</cp:coreProperties>
</file>