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87C" w:rsidRDefault="0009019D" w:rsidP="00257030">
      <w:pPr>
        <w:pStyle w:val="Titre"/>
      </w:pPr>
      <w:r>
        <w:t>Point thèse</w:t>
      </w:r>
    </w:p>
    <w:p w:rsidR="0015287C" w:rsidRDefault="0009019D" w:rsidP="00257030">
      <w:pPr>
        <w:pStyle w:val="Date"/>
      </w:pPr>
      <w:r>
        <w:t>2024-07-01</w:t>
      </w:r>
    </w:p>
    <w:p w:rsidR="0015287C" w:rsidRDefault="0009019D" w:rsidP="00257030">
      <w:pPr>
        <w:pStyle w:val="Titre1"/>
        <w:jc w:val="both"/>
      </w:pPr>
      <w:bookmarkStart w:id="0" w:name="treatment-assignment-mechanism"/>
      <w:r>
        <w:t>1. Treatment assignment mechanism</w:t>
      </w:r>
    </w:p>
    <w:p w:rsidR="0015287C" w:rsidRDefault="0009019D" w:rsidP="00257030">
      <w:pPr>
        <w:numPr>
          <w:ilvl w:val="0"/>
          <w:numId w:val="2"/>
        </w:numPr>
        <w:jc w:val="both"/>
      </w:pPr>
      <w:r>
        <w:t>Binary (treated/not treated)</w:t>
      </w:r>
    </w:p>
    <w:p w:rsidR="0015287C" w:rsidRDefault="0009019D" w:rsidP="00257030">
      <w:pPr>
        <w:numPr>
          <w:ilvl w:val="0"/>
          <w:numId w:val="2"/>
        </w:numPr>
        <w:jc w:val="both"/>
      </w:pPr>
      <w:r>
        <w:t>Switching (i.e. on/off)</w:t>
      </w:r>
    </w:p>
    <w:p w:rsidR="0015287C" w:rsidRDefault="0009019D" w:rsidP="00257030">
      <w:pPr>
        <w:pStyle w:val="FirstParagraph"/>
        <w:jc w:val="both"/>
      </w:pPr>
      <w:r>
        <w:t>Climate and weather extreme events listed as such by the[@ipcc2023] and included in EM-DAT:</w:t>
      </w:r>
    </w:p>
    <w:p w:rsidR="0015287C" w:rsidRDefault="0009019D" w:rsidP="00257030">
      <w:pPr>
        <w:numPr>
          <w:ilvl w:val="0"/>
          <w:numId w:val="3"/>
        </w:numPr>
        <w:jc w:val="both"/>
      </w:pPr>
      <w:r>
        <w:t>temperature extremes (nat-met-ext);</w:t>
      </w:r>
    </w:p>
    <w:p w:rsidR="0015287C" w:rsidRDefault="0009019D" w:rsidP="00257030">
      <w:pPr>
        <w:numPr>
          <w:ilvl w:val="0"/>
          <w:numId w:val="3"/>
        </w:numPr>
        <w:jc w:val="both"/>
      </w:pPr>
      <w:r>
        <w:t>pluvial floods (nat-hyd-flo);</w:t>
      </w:r>
    </w:p>
    <w:p w:rsidR="0015287C" w:rsidRDefault="0009019D" w:rsidP="00257030">
      <w:pPr>
        <w:numPr>
          <w:ilvl w:val="0"/>
          <w:numId w:val="3"/>
        </w:numPr>
        <w:jc w:val="both"/>
      </w:pPr>
      <w:r>
        <w:t>river floods (nat-hyd-flo);</w:t>
      </w:r>
    </w:p>
    <w:p w:rsidR="0015287C" w:rsidRDefault="0009019D" w:rsidP="00257030">
      <w:pPr>
        <w:numPr>
          <w:ilvl w:val="0"/>
          <w:numId w:val="3"/>
        </w:numPr>
        <w:jc w:val="both"/>
      </w:pPr>
      <w:r>
        <w:t>drought (nat-cli-dro)</w:t>
      </w:r>
    </w:p>
    <w:p w:rsidR="0015287C" w:rsidRDefault="0009019D" w:rsidP="00257030">
      <w:pPr>
        <w:numPr>
          <w:ilvl w:val="0"/>
          <w:numId w:val="3"/>
        </w:numPr>
        <w:jc w:val="both"/>
      </w:pPr>
      <w:r>
        <w:t>storms (including tropical cyclones) (nat-met-sto);</w:t>
      </w:r>
    </w:p>
    <w:p w:rsidR="0015287C" w:rsidRDefault="0009019D" w:rsidP="00257030">
      <w:pPr>
        <w:numPr>
          <w:ilvl w:val="0"/>
          <w:numId w:val="3"/>
        </w:numPr>
        <w:jc w:val="both"/>
      </w:pPr>
      <w:r>
        <w:t>compound events (multivariate and concurrent extremes)</w:t>
      </w:r>
    </w:p>
    <w:p w:rsidR="0015287C" w:rsidRDefault="0009019D" w:rsidP="00257030">
      <w:pPr>
        <w:pStyle w:val="Normalcentr"/>
        <w:jc w:val="both"/>
      </w:pPr>
      <w:r w:rsidRPr="00257030">
        <w:rPr>
          <w:i/>
        </w:rPr>
        <w:t xml:space="preserve">Note: ‘Heavy precipitation’ is also considered as </w:t>
      </w:r>
      <w:proofErr w:type="gramStart"/>
      <w:r w:rsidRPr="00257030">
        <w:rPr>
          <w:i/>
        </w:rPr>
        <w:t>an</w:t>
      </w:r>
      <w:proofErr w:type="gramEnd"/>
      <w:r w:rsidRPr="00257030">
        <w:rPr>
          <w:i/>
        </w:rPr>
        <w:t xml:space="preserve"> climate and weat</w:t>
      </w:r>
      <w:r w:rsidRPr="00257030">
        <w:rPr>
          <w:i/>
        </w:rPr>
        <w:t>her extreme events, however EM-DAT doesn’t include a specific category for it. ‘Flood’ can be considered the closest related category</w:t>
      </w:r>
      <w:r>
        <w:t>.</w:t>
      </w:r>
    </w:p>
    <w:p w:rsidR="0015287C" w:rsidRDefault="0009019D" w:rsidP="00257030">
      <w:pPr>
        <w:pStyle w:val="Titre2"/>
        <w:jc w:val="both"/>
      </w:pPr>
      <w:bookmarkStart w:id="1" w:name="treatment-status"/>
      <w:r>
        <w:t>1.1 Treatment status</w:t>
      </w:r>
    </w:p>
    <w:p w:rsidR="0015287C" w:rsidRDefault="0009019D" w:rsidP="00257030">
      <w:pPr>
        <w:pStyle w:val="Titre3"/>
        <w:jc w:val="both"/>
      </w:pPr>
      <w:bookmarkStart w:id="2" w:name="all-events"/>
      <w:r>
        <w:t>1.1.1 All events</w:t>
      </w:r>
    </w:p>
    <w:p w:rsidR="0015287C" w:rsidRDefault="0009019D" w:rsidP="00257030">
      <w:pPr>
        <w:pStyle w:val="FirstParagraph"/>
        <w:jc w:val="both"/>
      </w:pPr>
      <w:r>
        <w:t xml:space="preserve">Here, three criteria defined the treatment (cf. the treatment assignment mechanism </w:t>
      </w:r>
      <w:r>
        <w:t>above): (1) the occurence of a disaster included in one of the EM-DAT categories defined as a climate and weather extreme event by the IPCC; (2) binary; (3) switching/on-off.</w:t>
      </w:r>
    </w:p>
    <w:p w:rsidR="0015287C" w:rsidRDefault="0009019D" w:rsidP="00257030">
      <w:pPr>
        <w:pStyle w:val="FirstParagraph"/>
        <w:jc w:val="both"/>
      </w:pPr>
      <w:r>
        <w:rPr>
          <w:noProof/>
        </w:rPr>
        <w:lastRenderedPageBreak/>
        <w:drawing>
          <wp:inline distT="0" distB="0" distL="0" distR="0">
            <wp:extent cx="5334000" cy="4000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202407_point_these_files/figure-docx/unnamed-chunk-5-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Normalcentr"/>
        <w:jc w:val="both"/>
      </w:pPr>
      <w:r w:rsidRPr="00257030">
        <w:rPr>
          <w:i/>
        </w:rPr>
        <w:t>Note</w:t>
      </w:r>
      <w:r w:rsidRPr="00257030">
        <w:rPr>
          <w:i/>
        </w:rPr>
        <w:t>: most recipient countries have been treated multiple times and over subsequent periods. This makes any attempt to define a treatment assignment mechanism for causal inference very complex</w:t>
      </w:r>
      <w:r>
        <w:t>.</w:t>
      </w:r>
    </w:p>
    <w:p w:rsidR="0015287C" w:rsidRDefault="0009019D" w:rsidP="00257030">
      <w:pPr>
        <w:pStyle w:val="FirstParagraph"/>
        <w:jc w:val="both"/>
      </w:pPr>
      <w:r>
        <w:t>To limit the number of treated periods per country, I follow a two</w:t>
      </w:r>
      <w:r>
        <w:t>-stage approach:</w:t>
      </w:r>
    </w:p>
    <w:p w:rsidR="0015287C" w:rsidRDefault="0009019D" w:rsidP="00257030">
      <w:pPr>
        <w:pStyle w:val="Titre3"/>
        <w:jc w:val="both"/>
      </w:pPr>
      <w:bookmarkStart w:id="3" w:name="X83e59f7a34618179b28e62fb2bc81197ad2c5a5"/>
      <w:bookmarkEnd w:id="2"/>
      <w:r>
        <w:t xml:space="preserve">1.1.2 Events </w:t>
      </w:r>
      <w:r>
        <w:rPr>
          <w:i/>
          <w:iCs/>
        </w:rPr>
        <w:t>leading to an international assistance call (“appeal”)</w:t>
      </w:r>
    </w:p>
    <w:p w:rsidR="0015287C" w:rsidRDefault="0009019D" w:rsidP="00257030">
      <w:pPr>
        <w:pStyle w:val="FirstParagraph"/>
        <w:jc w:val="both"/>
      </w:pPr>
      <w:r>
        <w:t>First, I restrict the sample to disasters which have led to an international assistance call (“appeal”) by the affected country’s government. We can assume that the most e</w:t>
      </w:r>
      <w:r>
        <w:t>xtreme events are more likely to push recipient governments to call for international assistance.</w:t>
      </w:r>
    </w:p>
    <w:p w:rsidR="0015287C" w:rsidRDefault="0009019D" w:rsidP="00257030">
      <w:pPr>
        <w:pStyle w:val="FirstParagraph"/>
        <w:jc w:val="both"/>
      </w:pPr>
      <w:r>
        <w:rPr>
          <w:noProof/>
        </w:rPr>
        <w:lastRenderedPageBreak/>
        <w:drawing>
          <wp:inline distT="0" distB="0" distL="0" distR="0">
            <wp:extent cx="5334000" cy="4000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202407_point_these_files/figure-docx/treatment_status-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Normalcentr"/>
        <w:jc w:val="both"/>
      </w:pPr>
      <w:r w:rsidRPr="00257030">
        <w:rPr>
          <w:i/>
        </w:rPr>
        <w:t>Note: the average number of treatment periods per country has decreased drastical</w:t>
      </w:r>
      <w:r w:rsidRPr="00257030">
        <w:rPr>
          <w:i/>
        </w:rPr>
        <w:t>ly. However, a large sample are part of more than one treatment cohorts (i.e., the have faced more than one disaster) over the period</w:t>
      </w:r>
      <w:r>
        <w:t>.</w:t>
      </w:r>
    </w:p>
    <w:p w:rsidR="0015287C" w:rsidRDefault="0009019D" w:rsidP="00257030">
      <w:pPr>
        <w:pStyle w:val="Titre3"/>
        <w:jc w:val="both"/>
      </w:pPr>
      <w:bookmarkStart w:id="4" w:name="X4b1cb3c4ef3e3fab5fc1e98d4e9e69f20d7f5c7"/>
      <w:bookmarkEnd w:id="3"/>
      <w:r>
        <w:t xml:space="preserve">1.1.3 </w:t>
      </w:r>
      <w:r>
        <w:rPr>
          <w:i/>
          <w:iCs/>
        </w:rPr>
        <w:t>Unique</w:t>
      </w:r>
      <w:r>
        <w:t xml:space="preserve"> events leading to an international assistance call (“appeal”)</w:t>
      </w:r>
    </w:p>
    <w:p w:rsidR="0015287C" w:rsidRDefault="0009019D" w:rsidP="00257030">
      <w:pPr>
        <w:pStyle w:val="FirstParagraph"/>
        <w:jc w:val="both"/>
      </w:pPr>
      <w:r>
        <w:t>Second, I restrict the sample to countries which have been affected by maximum one disaster over the period (i.e. 0 or 1).</w:t>
      </w:r>
    </w:p>
    <w:p w:rsidR="0015287C" w:rsidRDefault="0009019D" w:rsidP="00257030">
      <w:pPr>
        <w:pStyle w:val="Corpsdetexte"/>
        <w:jc w:val="both"/>
      </w:pPr>
      <w:r>
        <w:t>List of the countries with only one treatment period in the sample:</w:t>
      </w:r>
    </w:p>
    <w:p w:rsidR="0015287C" w:rsidRDefault="0009019D" w:rsidP="00257030">
      <w:pPr>
        <w:pStyle w:val="SourceCode"/>
        <w:jc w:val="both"/>
      </w:pPr>
      <w:r>
        <w:rPr>
          <w:rStyle w:val="VerbatimChar"/>
        </w:rPr>
        <w:t xml:space="preserve"> [1] "Ukraine"                          "Burundi"                </w:t>
      </w:r>
      <w:r>
        <w:rPr>
          <w:rStyle w:val="VerbatimChar"/>
        </w:rPr>
        <w:t xml:space="preserve">         </w:t>
      </w:r>
      <w:r>
        <w:br/>
      </w:r>
      <w:r>
        <w:rPr>
          <w:rStyle w:val="VerbatimChar"/>
        </w:rPr>
        <w:t xml:space="preserve"> [3] "Cameroon"                         "Central African Republic"        </w:t>
      </w:r>
      <w:r>
        <w:br/>
      </w:r>
      <w:r>
        <w:rPr>
          <w:rStyle w:val="VerbatimChar"/>
        </w:rPr>
        <w:t xml:space="preserve"> [5] "Comoros"                          "Democratic Republic of the Congo"</w:t>
      </w:r>
      <w:r>
        <w:br/>
      </w:r>
      <w:r>
        <w:rPr>
          <w:rStyle w:val="VerbatimChar"/>
        </w:rPr>
        <w:t xml:space="preserve"> [7] "Benin"                            "Ethiopia"                        </w:t>
      </w:r>
      <w:r>
        <w:br/>
      </w:r>
      <w:r>
        <w:rPr>
          <w:rStyle w:val="VerbatimChar"/>
        </w:rPr>
        <w:t xml:space="preserve"> [9] "Ghana"         </w:t>
      </w:r>
      <w:r>
        <w:rPr>
          <w:rStyle w:val="VerbatimChar"/>
        </w:rPr>
        <w:t xml:space="preserve">                   "Kenya"                           </w:t>
      </w:r>
      <w:r>
        <w:br/>
      </w:r>
      <w:r>
        <w:rPr>
          <w:rStyle w:val="VerbatimChar"/>
        </w:rPr>
        <w:t xml:space="preserve">[11] "Lesotho"                          "Liberia"                         </w:t>
      </w:r>
      <w:r>
        <w:br/>
      </w:r>
      <w:r>
        <w:rPr>
          <w:rStyle w:val="VerbatimChar"/>
        </w:rPr>
        <w:t xml:space="preserve">[13] "Mozambique"                       "Zimbabwe"                        </w:t>
      </w:r>
      <w:r>
        <w:br/>
      </w:r>
      <w:r>
        <w:rPr>
          <w:rStyle w:val="VerbatimChar"/>
        </w:rPr>
        <w:t>[15] "Sao Tome and Principe"            "Sierra Leon</w:t>
      </w:r>
      <w:r>
        <w:rPr>
          <w:rStyle w:val="VerbatimChar"/>
        </w:rPr>
        <w:t xml:space="preserve">e"                    </w:t>
      </w:r>
      <w:r>
        <w:br/>
      </w:r>
      <w:r>
        <w:rPr>
          <w:rStyle w:val="VerbatimChar"/>
        </w:rPr>
        <w:t xml:space="preserve">[17] "Djibouti"                         "Uganda"                          </w:t>
      </w:r>
      <w:r>
        <w:br/>
      </w:r>
      <w:r>
        <w:rPr>
          <w:rStyle w:val="VerbatimChar"/>
        </w:rPr>
        <w:t xml:space="preserve">[19] "Zambia"                           "Haiti"                           </w:t>
      </w:r>
      <w:r>
        <w:br/>
      </w:r>
      <w:r>
        <w:rPr>
          <w:rStyle w:val="VerbatimChar"/>
        </w:rPr>
        <w:t xml:space="preserve">[21] "Belize"                           "Mexico"                          </w:t>
      </w:r>
      <w:r>
        <w:br/>
      </w:r>
      <w:r>
        <w:rPr>
          <w:rStyle w:val="VerbatimChar"/>
        </w:rPr>
        <w:t>[23] "Tr</w:t>
      </w:r>
      <w:r>
        <w:rPr>
          <w:rStyle w:val="VerbatimChar"/>
        </w:rPr>
        <w:t>inidad and Tobago"              "Saint Vincent and the Grenadines"</w:t>
      </w:r>
      <w:r>
        <w:br/>
      </w:r>
      <w:r>
        <w:rPr>
          <w:rStyle w:val="VerbatimChar"/>
        </w:rPr>
        <w:t xml:space="preserve">[25] "Chile"                            "Colombia"                        </w:t>
      </w:r>
      <w:r>
        <w:br/>
      </w:r>
      <w:r>
        <w:rPr>
          <w:rStyle w:val="VerbatimChar"/>
        </w:rPr>
        <w:t xml:space="preserve">[27] "Paraguay"                         "Peru"                            </w:t>
      </w:r>
      <w:r>
        <w:br/>
      </w:r>
      <w:r>
        <w:rPr>
          <w:rStyle w:val="VerbatimChar"/>
        </w:rPr>
        <w:lastRenderedPageBreak/>
        <w:t xml:space="preserve">[29] "Uruguay"                         </w:t>
      </w:r>
      <w:r>
        <w:rPr>
          <w:rStyle w:val="VerbatimChar"/>
        </w:rPr>
        <w:t xml:space="preserve"> "Bangladesh"                      </w:t>
      </w:r>
      <w:r>
        <w:br/>
      </w:r>
      <w:r>
        <w:rPr>
          <w:rStyle w:val="VerbatimChar"/>
        </w:rPr>
        <w:t xml:space="preserve">[31] "Lao People's Democratic Republic" "Mongolia"                        </w:t>
      </w:r>
      <w:r>
        <w:br/>
      </w:r>
      <w:r>
        <w:rPr>
          <w:rStyle w:val="VerbatimChar"/>
        </w:rPr>
        <w:t xml:space="preserve">[33] "Viet Nam"                         "Vanuatu"                         </w:t>
      </w:r>
      <w:r>
        <w:br/>
      </w:r>
      <w:r>
        <w:rPr>
          <w:rStyle w:val="VerbatimChar"/>
        </w:rPr>
        <w:t xml:space="preserve">[35] "Micronesia"                       "Solomon Islands"                 </w:t>
      </w:r>
    </w:p>
    <w:p w:rsidR="0015287C" w:rsidRDefault="0009019D" w:rsidP="00257030">
      <w:pPr>
        <w:pStyle w:val="FirstParagraph"/>
        <w:jc w:val="both"/>
      </w:pPr>
      <w:r>
        <w:rPr>
          <w:noProof/>
        </w:rPr>
        <w:drawing>
          <wp:inline distT="0" distB="0" distL="0" distR="0">
            <wp:extent cx="5334000" cy="40005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202407_point_these_files/figure-docx/unnamed-chunk-7-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Normalcentr"/>
        <w:jc w:val="both"/>
      </w:pPr>
      <w:r w:rsidRPr="00257030">
        <w:rPr>
          <w:i/>
        </w:rPr>
        <w:t>Note: treatment cohorts include between 1 and 8 countries</w:t>
      </w:r>
      <w:r>
        <w:t>.</w:t>
      </w:r>
    </w:p>
    <w:p w:rsidR="0015287C" w:rsidRDefault="0009019D" w:rsidP="00257030">
      <w:pPr>
        <w:pStyle w:val="Titre1"/>
        <w:jc w:val="both"/>
      </w:pPr>
      <w:bookmarkStart w:id="5" w:name="within-subject-comparisons-by-period"/>
      <w:bookmarkEnd w:id="0"/>
      <w:bookmarkEnd w:id="1"/>
      <w:bookmarkEnd w:id="4"/>
      <w:r>
        <w:t>2. Within-subject comparisons by period</w:t>
      </w:r>
    </w:p>
    <w:p w:rsidR="0015287C" w:rsidRDefault="0009019D" w:rsidP="00257030">
      <w:pPr>
        <w:pStyle w:val="FirstParagraph"/>
        <w:jc w:val="both"/>
      </w:pPr>
      <w:r>
        <w:t>First</w:t>
      </w:r>
      <w:r>
        <w:t>, I list all donors and recipients registered in the OECD CRS data base.</w:t>
      </w:r>
    </w:p>
    <w:p w:rsidR="0015287C" w:rsidRDefault="0009019D" w:rsidP="00257030">
      <w:pPr>
        <w:pStyle w:val="Corpsdetexte"/>
        <w:jc w:val="both"/>
      </w:pPr>
      <w:r>
        <w:t>Second, I transform observations with negative commitments (i.e. commitment withdrawals) to zeroes.</w:t>
      </w:r>
    </w:p>
    <w:p w:rsidR="0015287C" w:rsidRDefault="0009019D" w:rsidP="00257030">
      <w:pPr>
        <w:pStyle w:val="Normalcentr"/>
        <w:jc w:val="both"/>
      </w:pPr>
      <w:r>
        <w:t>Note: while there are 173 obs. with negative commitments, from 5 donors and 65 reci</w:t>
      </w:r>
      <w:r>
        <w:t>pients over the period in the initial data set, both their distinct and aggregated values remain low (~ MUSD). Besides, only one observation remains with a small negative commitment once aggregated at the dyad level. Consequently, the conversion of negativ</w:t>
      </w:r>
      <w:r>
        <w:t>e values to zeroes should not bias the results.</w:t>
      </w:r>
    </w:p>
    <w:p w:rsidR="0015287C" w:rsidRDefault="0009019D" w:rsidP="00257030">
      <w:pPr>
        <w:pStyle w:val="FirstParagraph"/>
        <w:jc w:val="both"/>
      </w:pPr>
      <w:r>
        <w:t>Third, I define the main outcome variables at the level of the donor-recipient dyad.</w:t>
      </w:r>
    </w:p>
    <w:p w:rsidR="0015287C" w:rsidRDefault="0009019D" w:rsidP="00257030">
      <w:pPr>
        <w:numPr>
          <w:ilvl w:val="0"/>
          <w:numId w:val="4"/>
        </w:numPr>
        <w:jc w:val="both"/>
      </w:pPr>
      <w:r>
        <w:t>Total commitments, Millions, USD</w:t>
      </w:r>
    </w:p>
    <w:p w:rsidR="0015287C" w:rsidRDefault="0009019D" w:rsidP="00257030">
      <w:pPr>
        <w:numPr>
          <w:ilvl w:val="1"/>
          <w:numId w:val="5"/>
        </w:numPr>
        <w:jc w:val="both"/>
      </w:pPr>
      <w:r>
        <w:lastRenderedPageBreak/>
        <w:t>Total commitments delivered through non-State channels, Millions, USD</w:t>
      </w:r>
    </w:p>
    <w:p w:rsidR="0015287C" w:rsidRDefault="0009019D" w:rsidP="00257030">
      <w:pPr>
        <w:numPr>
          <w:ilvl w:val="2"/>
          <w:numId w:val="6"/>
        </w:numPr>
        <w:jc w:val="both"/>
      </w:pPr>
      <w:r>
        <w:t>Total commitments de</w:t>
      </w:r>
      <w:r>
        <w:t>livered through NGOs, Millions, USD</w:t>
      </w:r>
    </w:p>
    <w:p w:rsidR="0015287C" w:rsidRDefault="0009019D" w:rsidP="00257030">
      <w:pPr>
        <w:numPr>
          <w:ilvl w:val="2"/>
          <w:numId w:val="6"/>
        </w:numPr>
        <w:jc w:val="both"/>
      </w:pPr>
      <w:r>
        <w:t>Total commitments delivered through Multilaterals, Millions, USD</w:t>
      </w:r>
    </w:p>
    <w:p w:rsidR="0015287C" w:rsidRDefault="0009019D" w:rsidP="00257030">
      <w:pPr>
        <w:numPr>
          <w:ilvl w:val="0"/>
          <w:numId w:val="4"/>
        </w:numPr>
        <w:jc w:val="both"/>
      </w:pPr>
      <w:r>
        <w:t>Share of commitments delivered through non-State channels, %</w:t>
      </w:r>
    </w:p>
    <w:p w:rsidR="0015287C" w:rsidRDefault="0009019D" w:rsidP="00257030">
      <w:pPr>
        <w:numPr>
          <w:ilvl w:val="1"/>
          <w:numId w:val="7"/>
        </w:numPr>
        <w:jc w:val="both"/>
      </w:pPr>
      <w:r>
        <w:t>Share of commitments delivered through NGOs, %</w:t>
      </w:r>
    </w:p>
    <w:p w:rsidR="0015287C" w:rsidRDefault="0009019D" w:rsidP="00257030">
      <w:pPr>
        <w:numPr>
          <w:ilvl w:val="1"/>
          <w:numId w:val="7"/>
        </w:numPr>
        <w:jc w:val="both"/>
      </w:pPr>
      <w:r>
        <w:t>Share of commitments delivered through Multilat</w:t>
      </w:r>
      <w:r>
        <w:t>erals, %</w:t>
      </w:r>
    </w:p>
    <w:p w:rsidR="0015287C" w:rsidRDefault="0009019D" w:rsidP="00257030">
      <w:pPr>
        <w:numPr>
          <w:ilvl w:val="0"/>
          <w:numId w:val="4"/>
        </w:numPr>
        <w:jc w:val="both"/>
      </w:pPr>
      <w:r>
        <w:t>Number of sectors (with positive commitments)</w:t>
      </w:r>
    </w:p>
    <w:p w:rsidR="0015287C" w:rsidRDefault="0009019D" w:rsidP="00257030">
      <w:pPr>
        <w:pStyle w:val="Compact"/>
        <w:numPr>
          <w:ilvl w:val="1"/>
          <w:numId w:val="8"/>
        </w:numPr>
        <w:jc w:val="both"/>
      </w:pPr>
      <w:r>
        <w:t>Number of sub-sectors (‘purposes’ from the OECD’s code book) (with positive commitments)</w:t>
      </w:r>
    </w:p>
    <w:p w:rsidR="0015287C" w:rsidRDefault="0009019D" w:rsidP="00257030">
      <w:pPr>
        <w:numPr>
          <w:ilvl w:val="0"/>
          <w:numId w:val="4"/>
        </w:numPr>
        <w:jc w:val="both"/>
      </w:pPr>
      <w:r>
        <w:t>Number of projects (with positive commitments)</w:t>
      </w:r>
    </w:p>
    <w:p w:rsidR="0015287C" w:rsidRDefault="0009019D" w:rsidP="00257030">
      <w:pPr>
        <w:pStyle w:val="Compact"/>
        <w:numPr>
          <w:ilvl w:val="1"/>
          <w:numId w:val="9"/>
        </w:numPr>
        <w:jc w:val="both"/>
      </w:pPr>
      <w:r>
        <w:t>Average size of projects (with positive commitments), Millions, U</w:t>
      </w:r>
      <w:r>
        <w:t>SD</w:t>
      </w:r>
    </w:p>
    <w:p w:rsidR="0015287C" w:rsidRDefault="0009019D" w:rsidP="00257030">
      <w:pPr>
        <w:pStyle w:val="FirstParagraph"/>
        <w:jc w:val="both"/>
      </w:pPr>
      <w:r>
        <w:t>Fourth, I merge the list of all potential dyads by year with the outcome data set which includes total commitments aggregated at the donor-recipient dyad.</w:t>
      </w:r>
    </w:p>
    <w:p w:rsidR="0015287C" w:rsidRDefault="0009019D" w:rsidP="00257030">
      <w:pPr>
        <w:pStyle w:val="Corpsdetexte"/>
        <w:jc w:val="both"/>
      </w:pPr>
      <w:r>
        <w:t xml:space="preserve">Fifth, I specify ‘real’ zeroes. When both the donor and the recipient’s cohorts (i.e. the year of </w:t>
      </w:r>
      <w:r>
        <w:t>the first registered projects in the OECD CRS data base) are prior to the project’s year, missing values are converted to zeroes. In other words, missing values are only applied when the cohort of at least one side of the dyad comes after the project’s yea</w:t>
      </w:r>
      <w:r>
        <w:t>r.</w:t>
      </w:r>
    </w:p>
    <w:p w:rsidR="0015287C" w:rsidRDefault="0009019D" w:rsidP="00257030">
      <w:pPr>
        <w:pStyle w:val="Corpsdetexte"/>
        <w:jc w:val="both"/>
      </w:pPr>
      <w:r>
        <w:t>Lastly, I merge the outcomes data set with the treatment data set.</w:t>
      </w:r>
    </w:p>
    <w:p w:rsidR="0015287C" w:rsidRPr="00257030" w:rsidRDefault="0009019D" w:rsidP="00257030">
      <w:pPr>
        <w:pStyle w:val="SourceCode"/>
        <w:jc w:val="both"/>
        <w:rPr>
          <w:sz w:val="22"/>
        </w:rPr>
      </w:pPr>
      <w:r w:rsidRPr="00257030">
        <w:rPr>
          <w:rStyle w:val="VerbatimChar"/>
          <w:sz w:val="20"/>
        </w:rPr>
        <w:t xml:space="preserve"> recipient_id            year        donor_id          donor_name       </w:t>
      </w:r>
      <w:r w:rsidRPr="00257030">
        <w:rPr>
          <w:sz w:val="22"/>
        </w:rPr>
        <w:br/>
      </w:r>
      <w:r w:rsidRPr="00257030">
        <w:rPr>
          <w:rStyle w:val="VerbatimChar"/>
          <w:sz w:val="20"/>
        </w:rPr>
        <w:t xml:space="preserve"> Length:113703      Min.   :2002   Length:113703      Length:113703     </w:t>
      </w:r>
      <w:r w:rsidRPr="00257030">
        <w:rPr>
          <w:sz w:val="22"/>
        </w:rPr>
        <w:br/>
      </w:r>
      <w:r w:rsidRPr="00257030">
        <w:rPr>
          <w:rStyle w:val="VerbatimChar"/>
          <w:sz w:val="20"/>
        </w:rPr>
        <w:t xml:space="preserve"> Class :character   1st Qu.:2007   Class :character   Class :character  </w:t>
      </w:r>
      <w:r w:rsidRPr="00257030">
        <w:rPr>
          <w:sz w:val="22"/>
        </w:rPr>
        <w:br/>
      </w:r>
      <w:r w:rsidRPr="00257030">
        <w:rPr>
          <w:rStyle w:val="VerbatimChar"/>
          <w:sz w:val="20"/>
        </w:rPr>
        <w:t xml:space="preserve"> Mode  :character   Median :2012   Mode  :character   Mode  :character  </w:t>
      </w:r>
      <w:r w:rsidRPr="00257030">
        <w:rPr>
          <w:sz w:val="22"/>
        </w:rPr>
        <w:br/>
      </w:r>
      <w:r w:rsidRPr="00257030">
        <w:rPr>
          <w:rStyle w:val="VerbatimChar"/>
          <w:sz w:val="20"/>
        </w:rPr>
        <w:t xml:space="preserve">                    Mean   :2012                                        </w:t>
      </w:r>
      <w:r w:rsidRPr="00257030">
        <w:rPr>
          <w:sz w:val="22"/>
        </w:rPr>
        <w:br/>
      </w:r>
      <w:r w:rsidRPr="00257030">
        <w:rPr>
          <w:rStyle w:val="VerbatimChar"/>
          <w:sz w:val="20"/>
        </w:rPr>
        <w:t xml:space="preserve">                    3rd Qu.:2017     </w:t>
      </w:r>
      <w:r w:rsidRPr="00257030">
        <w:rPr>
          <w:rStyle w:val="VerbatimChar"/>
          <w:sz w:val="20"/>
        </w:rPr>
        <w:t xml:space="preserve">                                   </w:t>
      </w:r>
      <w:r w:rsidRPr="00257030">
        <w:rPr>
          <w:sz w:val="22"/>
        </w:rPr>
        <w:br/>
      </w:r>
      <w:r w:rsidRPr="00257030">
        <w:rPr>
          <w:rStyle w:val="VerbatimChar"/>
          <w:sz w:val="20"/>
        </w:rPr>
        <w:t xml:space="preserve">                    Max.   :2022                                        </w:t>
      </w:r>
      <w:r w:rsidRPr="00257030">
        <w:rPr>
          <w:sz w:val="22"/>
        </w:rPr>
        <w:br/>
      </w:r>
      <w:r w:rsidRPr="00257030">
        <w:rPr>
          <w:rStyle w:val="VerbatimChar"/>
          <w:sz w:val="20"/>
        </w:rPr>
        <w:t xml:space="preserve">                                                                        </w:t>
      </w:r>
      <w:r w:rsidRPr="00257030">
        <w:rPr>
          <w:sz w:val="22"/>
        </w:rPr>
        <w:br/>
      </w:r>
      <w:r w:rsidRPr="00257030">
        <w:rPr>
          <w:rStyle w:val="VerbatimChar"/>
          <w:sz w:val="20"/>
        </w:rPr>
        <w:t xml:space="preserve"> recipient_name        universe        commitment       commit.channel_non</w:t>
      </w:r>
      <w:r w:rsidRPr="00257030">
        <w:rPr>
          <w:rStyle w:val="VerbatimChar"/>
          <w:sz w:val="20"/>
        </w:rPr>
        <w:t>state</w:t>
      </w:r>
      <w:r w:rsidRPr="00257030">
        <w:rPr>
          <w:sz w:val="22"/>
        </w:rPr>
        <w:br/>
      </w:r>
      <w:r w:rsidRPr="00257030">
        <w:rPr>
          <w:rStyle w:val="VerbatimChar"/>
          <w:sz w:val="20"/>
        </w:rPr>
        <w:t xml:space="preserve"> Length:113703      Min.   :0.0000   Min.   :    0.00   Min.   :   0.00        </w:t>
      </w:r>
      <w:r w:rsidRPr="00257030">
        <w:rPr>
          <w:sz w:val="22"/>
        </w:rPr>
        <w:br/>
      </w:r>
      <w:r w:rsidRPr="00257030">
        <w:rPr>
          <w:rStyle w:val="VerbatimChar"/>
          <w:sz w:val="20"/>
        </w:rPr>
        <w:t xml:space="preserve"> Class :character   1st Qu.:0.0000   1st Qu.:    0.00   1st Qu.:   0.00        </w:t>
      </w:r>
      <w:r w:rsidRPr="00257030">
        <w:rPr>
          <w:sz w:val="22"/>
        </w:rPr>
        <w:br/>
      </w:r>
      <w:r w:rsidRPr="00257030">
        <w:rPr>
          <w:rStyle w:val="VerbatimChar"/>
          <w:sz w:val="20"/>
        </w:rPr>
        <w:t xml:space="preserve"> Mode  :character   Median :0.0000   Median :    0.00   Median :   0.00        </w:t>
      </w:r>
      <w:r w:rsidRPr="00257030">
        <w:rPr>
          <w:sz w:val="22"/>
        </w:rPr>
        <w:br/>
      </w:r>
      <w:r w:rsidRPr="00257030">
        <w:rPr>
          <w:rStyle w:val="VerbatimChar"/>
          <w:sz w:val="20"/>
        </w:rPr>
        <w:t xml:space="preserve">          </w:t>
      </w:r>
      <w:r w:rsidRPr="00257030">
        <w:rPr>
          <w:rStyle w:val="VerbatimChar"/>
          <w:sz w:val="20"/>
        </w:rPr>
        <w:t xml:space="preserve">          Mean   :0.4877   Mean   :   16.43   Mean   :   3.60        </w:t>
      </w:r>
      <w:r w:rsidRPr="00257030">
        <w:rPr>
          <w:sz w:val="22"/>
        </w:rPr>
        <w:br/>
      </w:r>
      <w:r w:rsidRPr="00257030">
        <w:rPr>
          <w:rStyle w:val="VerbatimChar"/>
          <w:sz w:val="20"/>
        </w:rPr>
        <w:t xml:space="preserve">                    3rd Qu.:1.0000   3rd Qu.:    0.93   3rd Qu.:   0.01        </w:t>
      </w:r>
      <w:r w:rsidRPr="00257030">
        <w:rPr>
          <w:sz w:val="22"/>
        </w:rPr>
        <w:br/>
      </w:r>
      <w:r w:rsidRPr="00257030">
        <w:rPr>
          <w:rStyle w:val="VerbatimChar"/>
          <w:sz w:val="20"/>
        </w:rPr>
        <w:t xml:space="preserve">                    Max.   :1.0000   Max.   :10924.86   Max.   :2237.15        </w:t>
      </w:r>
      <w:r w:rsidRPr="00257030">
        <w:rPr>
          <w:sz w:val="22"/>
        </w:rPr>
        <w:br/>
      </w:r>
      <w:r w:rsidRPr="00257030">
        <w:rPr>
          <w:rStyle w:val="VerbatimChar"/>
          <w:sz w:val="20"/>
        </w:rPr>
        <w:t xml:space="preserve">                          </w:t>
      </w:r>
      <w:r w:rsidRPr="00257030">
        <w:rPr>
          <w:rStyle w:val="VerbatimChar"/>
          <w:sz w:val="20"/>
        </w:rPr>
        <w:t xml:space="preserve">           NA's   :58250      NA's   :58250          </w:t>
      </w:r>
      <w:r w:rsidRPr="00257030">
        <w:rPr>
          <w:sz w:val="22"/>
        </w:rPr>
        <w:br/>
      </w:r>
      <w:r w:rsidRPr="00257030">
        <w:rPr>
          <w:rStyle w:val="VerbatimChar"/>
          <w:sz w:val="20"/>
        </w:rPr>
        <w:t xml:space="preserve"> commit.channel_nonstate_ngo commit.channel_nonstate_multi    n_sector    </w:t>
      </w:r>
      <w:r w:rsidRPr="00257030">
        <w:rPr>
          <w:sz w:val="22"/>
        </w:rPr>
        <w:br/>
      </w:r>
      <w:r w:rsidRPr="00257030">
        <w:rPr>
          <w:rStyle w:val="VerbatimChar"/>
          <w:sz w:val="20"/>
        </w:rPr>
        <w:t xml:space="preserve"> Min.   :  0.00              Min.   :   0.00               Min.   : 0.0   </w:t>
      </w:r>
      <w:r w:rsidRPr="00257030">
        <w:rPr>
          <w:sz w:val="22"/>
        </w:rPr>
        <w:br/>
      </w:r>
      <w:r w:rsidRPr="00257030">
        <w:rPr>
          <w:rStyle w:val="VerbatimChar"/>
          <w:sz w:val="20"/>
        </w:rPr>
        <w:t xml:space="preserve"> 1st Qu.:  0.00              1st Qu.:   0.00        </w:t>
      </w:r>
      <w:r w:rsidRPr="00257030">
        <w:rPr>
          <w:rStyle w:val="VerbatimChar"/>
          <w:sz w:val="20"/>
        </w:rPr>
        <w:t xml:space="preserve">       1st Qu.: 1.0   </w:t>
      </w:r>
      <w:r w:rsidRPr="00257030">
        <w:rPr>
          <w:sz w:val="22"/>
        </w:rPr>
        <w:br/>
      </w:r>
      <w:r w:rsidRPr="00257030">
        <w:rPr>
          <w:rStyle w:val="VerbatimChar"/>
          <w:sz w:val="20"/>
        </w:rPr>
        <w:t xml:space="preserve"> Median :  0.00              Median :   0.00               Median : 3.0   </w:t>
      </w:r>
      <w:r w:rsidRPr="00257030">
        <w:rPr>
          <w:sz w:val="22"/>
        </w:rPr>
        <w:br/>
      </w:r>
      <w:r w:rsidRPr="00257030">
        <w:rPr>
          <w:rStyle w:val="VerbatimChar"/>
          <w:sz w:val="20"/>
        </w:rPr>
        <w:t xml:space="preserve"> Mean   :  1.51              Mean   :   1.39               Mean   : 5.7   </w:t>
      </w:r>
      <w:r w:rsidRPr="00257030">
        <w:rPr>
          <w:sz w:val="22"/>
        </w:rPr>
        <w:br/>
      </w:r>
      <w:r w:rsidRPr="00257030">
        <w:rPr>
          <w:rStyle w:val="VerbatimChar"/>
          <w:sz w:val="20"/>
        </w:rPr>
        <w:t xml:space="preserve"> 3rd Qu.:  0.00              3rd Qu.:   0.00               3rd Qu.: 8.0   </w:t>
      </w:r>
      <w:r w:rsidRPr="00257030">
        <w:rPr>
          <w:sz w:val="22"/>
        </w:rPr>
        <w:br/>
      </w:r>
      <w:r w:rsidRPr="00257030">
        <w:rPr>
          <w:rStyle w:val="VerbatimChar"/>
          <w:sz w:val="20"/>
        </w:rPr>
        <w:t xml:space="preserve"> Max.   </w:t>
      </w:r>
      <w:r w:rsidRPr="00257030">
        <w:rPr>
          <w:rStyle w:val="VerbatimChar"/>
          <w:sz w:val="20"/>
        </w:rPr>
        <w:t xml:space="preserve">:817.85              Max.   :1452.66               Max.   :32.0   </w:t>
      </w:r>
      <w:r w:rsidRPr="00257030">
        <w:rPr>
          <w:sz w:val="22"/>
        </w:rPr>
        <w:br/>
      </w:r>
      <w:r w:rsidRPr="00257030">
        <w:rPr>
          <w:rStyle w:val="VerbatimChar"/>
          <w:sz w:val="20"/>
        </w:rPr>
        <w:lastRenderedPageBreak/>
        <w:t xml:space="preserve"> NA's   :58250               NA's   :58250                 NA's   :90765  </w:t>
      </w:r>
      <w:r w:rsidRPr="00257030">
        <w:rPr>
          <w:sz w:val="22"/>
        </w:rPr>
        <w:br/>
      </w:r>
      <w:r w:rsidRPr="00257030">
        <w:rPr>
          <w:rStyle w:val="VerbatimChar"/>
          <w:sz w:val="20"/>
        </w:rPr>
        <w:t xml:space="preserve">   n_purpose        n_project        size_project    </w:t>
      </w:r>
      <w:r w:rsidRPr="00257030">
        <w:rPr>
          <w:sz w:val="22"/>
        </w:rPr>
        <w:br/>
      </w:r>
      <w:r w:rsidRPr="00257030">
        <w:rPr>
          <w:rStyle w:val="VerbatimChar"/>
          <w:sz w:val="20"/>
        </w:rPr>
        <w:t xml:space="preserve"> Min.   :  0.00   Min.   :   0.00   Min.   :   0.00  </w:t>
      </w:r>
      <w:r w:rsidRPr="00257030">
        <w:rPr>
          <w:sz w:val="22"/>
        </w:rPr>
        <w:br/>
      </w:r>
      <w:r w:rsidRPr="00257030">
        <w:rPr>
          <w:rStyle w:val="VerbatimChar"/>
          <w:sz w:val="20"/>
        </w:rPr>
        <w:t xml:space="preserve"> 1st Qu.:  1.00   1st Qu.:   2.00   1st Qu.:   0.06  </w:t>
      </w:r>
      <w:r w:rsidRPr="00257030">
        <w:rPr>
          <w:sz w:val="22"/>
        </w:rPr>
        <w:br/>
      </w:r>
      <w:r w:rsidRPr="00257030">
        <w:rPr>
          <w:rStyle w:val="VerbatimChar"/>
          <w:sz w:val="20"/>
        </w:rPr>
        <w:t xml:space="preserve"> Median :  4.00   Median :   6.00   Median :   0.22  </w:t>
      </w:r>
      <w:r w:rsidRPr="00257030">
        <w:rPr>
          <w:sz w:val="22"/>
        </w:rPr>
        <w:br/>
      </w:r>
      <w:r w:rsidRPr="00257030">
        <w:rPr>
          <w:rStyle w:val="VerbatimChar"/>
          <w:sz w:val="20"/>
        </w:rPr>
        <w:t xml:space="preserve"> Mean   :  9.32   Mean   :  23.03   Mean   :   4.03  </w:t>
      </w:r>
      <w:r w:rsidRPr="00257030">
        <w:rPr>
          <w:sz w:val="22"/>
        </w:rPr>
        <w:br/>
      </w:r>
      <w:r w:rsidRPr="00257030">
        <w:rPr>
          <w:rStyle w:val="VerbatimChar"/>
          <w:sz w:val="20"/>
        </w:rPr>
        <w:t xml:space="preserve"> 3rd Qu.: 12.00   3rd Qu.:  23.00   3rd Qu.:   0.97  </w:t>
      </w:r>
      <w:r w:rsidRPr="00257030">
        <w:rPr>
          <w:sz w:val="22"/>
        </w:rPr>
        <w:br/>
      </w:r>
      <w:r w:rsidRPr="00257030">
        <w:rPr>
          <w:rStyle w:val="VerbatimChar"/>
          <w:sz w:val="20"/>
        </w:rPr>
        <w:t xml:space="preserve"> Max.   :107.00   Max.   :1779.00   Max.</w:t>
      </w:r>
      <w:r w:rsidRPr="00257030">
        <w:rPr>
          <w:rStyle w:val="VerbatimChar"/>
          <w:sz w:val="20"/>
        </w:rPr>
        <w:t xml:space="preserve">   :1093.01  </w:t>
      </w:r>
      <w:r w:rsidRPr="00257030">
        <w:rPr>
          <w:sz w:val="22"/>
        </w:rPr>
        <w:br/>
      </w:r>
      <w:r w:rsidRPr="00257030">
        <w:rPr>
          <w:rStyle w:val="VerbatimChar"/>
          <w:sz w:val="20"/>
        </w:rPr>
        <w:t xml:space="preserve"> NA's   :90765    NA's   :90765     NA's   :90765    </w:t>
      </w:r>
      <w:r w:rsidRPr="00257030">
        <w:rPr>
          <w:sz w:val="22"/>
        </w:rPr>
        <w:br/>
      </w:r>
      <w:r w:rsidRPr="00257030">
        <w:rPr>
          <w:rStyle w:val="VerbatimChar"/>
          <w:sz w:val="20"/>
        </w:rPr>
        <w:t xml:space="preserve"> sh_commit.channel_nonstate sh_commit.channel_nonstate_ngo</w:t>
      </w:r>
      <w:r w:rsidRPr="00257030">
        <w:rPr>
          <w:sz w:val="22"/>
        </w:rPr>
        <w:br/>
      </w:r>
      <w:r w:rsidRPr="00257030">
        <w:rPr>
          <w:rStyle w:val="VerbatimChar"/>
          <w:sz w:val="20"/>
        </w:rPr>
        <w:t xml:space="preserve"> Min.   :  0.00             Min.   :  0.00                </w:t>
      </w:r>
      <w:r w:rsidRPr="00257030">
        <w:rPr>
          <w:sz w:val="22"/>
        </w:rPr>
        <w:br/>
      </w:r>
      <w:r w:rsidRPr="00257030">
        <w:rPr>
          <w:rStyle w:val="VerbatimChar"/>
          <w:sz w:val="20"/>
        </w:rPr>
        <w:t xml:space="preserve"> 1st Qu.:  0.00             1st Qu.:  0.00                </w:t>
      </w:r>
      <w:r w:rsidRPr="00257030">
        <w:rPr>
          <w:sz w:val="22"/>
        </w:rPr>
        <w:br/>
      </w:r>
      <w:r w:rsidRPr="00257030">
        <w:rPr>
          <w:rStyle w:val="VerbatimChar"/>
          <w:sz w:val="20"/>
        </w:rPr>
        <w:t xml:space="preserve"> Median : 2</w:t>
      </w:r>
      <w:r w:rsidRPr="00257030">
        <w:rPr>
          <w:rStyle w:val="VerbatimChar"/>
          <w:sz w:val="20"/>
        </w:rPr>
        <w:t xml:space="preserve">8.79             Median :  0.00                </w:t>
      </w:r>
      <w:r w:rsidRPr="00257030">
        <w:rPr>
          <w:sz w:val="22"/>
        </w:rPr>
        <w:br/>
      </w:r>
      <w:r w:rsidRPr="00257030">
        <w:rPr>
          <w:rStyle w:val="VerbatimChar"/>
          <w:sz w:val="20"/>
        </w:rPr>
        <w:t xml:space="preserve"> Mean   : 44.75             Mean   : 22.81                </w:t>
      </w:r>
      <w:r w:rsidRPr="00257030">
        <w:rPr>
          <w:sz w:val="22"/>
        </w:rPr>
        <w:br/>
      </w:r>
      <w:r w:rsidRPr="00257030">
        <w:rPr>
          <w:rStyle w:val="VerbatimChar"/>
          <w:sz w:val="20"/>
        </w:rPr>
        <w:t xml:space="preserve"> 3rd Qu.:100.00             3rd Qu.: 35.05                </w:t>
      </w:r>
      <w:r w:rsidRPr="00257030">
        <w:rPr>
          <w:sz w:val="22"/>
        </w:rPr>
        <w:br/>
      </w:r>
      <w:r w:rsidRPr="00257030">
        <w:rPr>
          <w:rStyle w:val="VerbatimChar"/>
          <w:sz w:val="20"/>
        </w:rPr>
        <w:t xml:space="preserve"> Max.   :100.00             Max.   :100.00                </w:t>
      </w:r>
      <w:r w:rsidRPr="00257030">
        <w:rPr>
          <w:sz w:val="22"/>
        </w:rPr>
        <w:br/>
      </w:r>
      <w:r w:rsidRPr="00257030">
        <w:rPr>
          <w:rStyle w:val="VerbatimChar"/>
          <w:sz w:val="20"/>
        </w:rPr>
        <w:t xml:space="preserve"> NA's   :90765              NA'</w:t>
      </w:r>
      <w:r w:rsidRPr="00257030">
        <w:rPr>
          <w:rStyle w:val="VerbatimChar"/>
          <w:sz w:val="20"/>
        </w:rPr>
        <w:t xml:space="preserve">s   :90765                 </w:t>
      </w:r>
      <w:r w:rsidRPr="00257030">
        <w:rPr>
          <w:sz w:val="22"/>
        </w:rPr>
        <w:br/>
      </w:r>
      <w:r w:rsidRPr="00257030">
        <w:rPr>
          <w:rStyle w:val="VerbatimChar"/>
          <w:sz w:val="20"/>
        </w:rPr>
        <w:t xml:space="preserve"> sh_commit.channel_nonstate_multi   treat_all        treatment      </w:t>
      </w:r>
      <w:r w:rsidRPr="00257030">
        <w:rPr>
          <w:sz w:val="22"/>
        </w:rPr>
        <w:br/>
      </w:r>
      <w:r w:rsidRPr="00257030">
        <w:rPr>
          <w:rStyle w:val="VerbatimChar"/>
          <w:sz w:val="20"/>
        </w:rPr>
        <w:t xml:space="preserve"> Min.   :  0.00                   Min.   :0.0000   Min.   :0.00000  </w:t>
      </w:r>
      <w:r w:rsidRPr="00257030">
        <w:rPr>
          <w:sz w:val="22"/>
        </w:rPr>
        <w:br/>
      </w:r>
      <w:r w:rsidRPr="00257030">
        <w:rPr>
          <w:rStyle w:val="VerbatimChar"/>
          <w:sz w:val="20"/>
        </w:rPr>
        <w:t xml:space="preserve"> 1st Qu.:  0.00                   1st Qu.:0.0000   1st Qu.:0.00000  </w:t>
      </w:r>
      <w:r w:rsidRPr="00257030">
        <w:rPr>
          <w:sz w:val="22"/>
        </w:rPr>
        <w:br/>
      </w:r>
      <w:r w:rsidRPr="00257030">
        <w:rPr>
          <w:rStyle w:val="VerbatimChar"/>
          <w:sz w:val="20"/>
        </w:rPr>
        <w:t xml:space="preserve"> Median :  0.00      </w:t>
      </w:r>
      <w:r w:rsidRPr="00257030">
        <w:rPr>
          <w:rStyle w:val="VerbatimChar"/>
          <w:sz w:val="20"/>
        </w:rPr>
        <w:t xml:space="preserve">             Median :1.0000   Median :0.00000  </w:t>
      </w:r>
      <w:r w:rsidRPr="00257030">
        <w:rPr>
          <w:sz w:val="22"/>
        </w:rPr>
        <w:br/>
      </w:r>
      <w:r w:rsidRPr="00257030">
        <w:rPr>
          <w:rStyle w:val="VerbatimChar"/>
          <w:sz w:val="20"/>
        </w:rPr>
        <w:t xml:space="preserve"> Mean   : 16.91                   Mean   :0.6295   Mean   :0.04781  </w:t>
      </w:r>
      <w:r w:rsidRPr="00257030">
        <w:rPr>
          <w:sz w:val="22"/>
        </w:rPr>
        <w:br/>
      </w:r>
      <w:r w:rsidRPr="00257030">
        <w:rPr>
          <w:rStyle w:val="VerbatimChar"/>
          <w:sz w:val="20"/>
        </w:rPr>
        <w:t xml:space="preserve"> 3rd Qu.: 13.31                   3rd Qu.:1.0000   3rd Qu.:0.00000  </w:t>
      </w:r>
      <w:r w:rsidRPr="00257030">
        <w:rPr>
          <w:sz w:val="22"/>
        </w:rPr>
        <w:br/>
      </w:r>
      <w:r w:rsidRPr="00257030">
        <w:rPr>
          <w:rStyle w:val="VerbatimChar"/>
          <w:sz w:val="20"/>
        </w:rPr>
        <w:t xml:space="preserve"> Max.   :100.00                   Max.   :1.0000   Max.   :1.00000  </w:t>
      </w:r>
      <w:r w:rsidRPr="00257030">
        <w:rPr>
          <w:sz w:val="22"/>
        </w:rPr>
        <w:br/>
      </w:r>
      <w:r w:rsidRPr="00257030">
        <w:rPr>
          <w:rStyle w:val="VerbatimChar"/>
          <w:sz w:val="20"/>
        </w:rPr>
        <w:t xml:space="preserve"> </w:t>
      </w:r>
      <w:r w:rsidRPr="00257030">
        <w:rPr>
          <w:rStyle w:val="VerbatimChar"/>
          <w:sz w:val="20"/>
        </w:rPr>
        <w:t xml:space="preserve">NA's   :90765                                                      </w:t>
      </w:r>
    </w:p>
    <w:p w:rsidR="0015287C" w:rsidRDefault="0009019D" w:rsidP="00257030">
      <w:pPr>
        <w:pStyle w:val="Titre2"/>
        <w:jc w:val="both"/>
      </w:pPr>
      <w:bookmarkStart w:id="6" w:name="commitments"/>
      <w:r>
        <w:lastRenderedPageBreak/>
        <w:t>2.1 Commitments</w:t>
      </w:r>
    </w:p>
    <w:p w:rsidR="0015287C" w:rsidRDefault="0009019D" w:rsidP="00257030">
      <w:pPr>
        <w:pStyle w:val="Titre3"/>
        <w:jc w:val="both"/>
      </w:pPr>
      <w:bookmarkStart w:id="7" w:name="total"/>
      <w:r>
        <w:t>2.1.1 Total</w:t>
      </w:r>
    </w:p>
    <w:p w:rsidR="0015287C" w:rsidRDefault="0009019D" w:rsidP="00257030">
      <w:pPr>
        <w:pStyle w:val="FirstParagraph"/>
        <w:jc w:val="both"/>
      </w:pPr>
      <w:r>
        <w:rPr>
          <w:noProof/>
        </w:rPr>
        <w:drawing>
          <wp:inline distT="0" distB="0" distL="0" distR="0">
            <wp:extent cx="5334000" cy="40005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202407_point_these_files/figure-docx/commitments-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increasing trend before treatment</w:t>
      </w:r>
      <w:r>
        <w:t>, small break in trend in t=0, recovery in t=1 and t=2, then decline in t=3.</w:t>
      </w:r>
    </w:p>
    <w:p w:rsidR="0015287C" w:rsidRDefault="0009019D" w:rsidP="00257030">
      <w:pPr>
        <w:pStyle w:val="Corpsdetexte"/>
        <w:jc w:val="both"/>
      </w:pPr>
      <w:r>
        <w:rPr>
          <w:b/>
          <w:bCs/>
        </w:rPr>
        <w:t>Comment</w:t>
      </w:r>
      <w:r>
        <w:t xml:space="preserve">: short-term </w:t>
      </w:r>
      <w:r>
        <w:t>effect of the treatment, where the outcome returns to the pre-treatment trend from t=1. However, the decline in t=3 raises the question whether of the post-emergency trend. Is reconstruction following the emergency phase or do we observe a recovery in “M”?</w:t>
      </w:r>
      <w:r w:rsidR="00257030">
        <w:t xml:space="preserve"> Is the </w:t>
      </w:r>
      <w:r w:rsidR="00257030">
        <w:t>increasing trend before treatment</w:t>
      </w:r>
      <w:r w:rsidR="00257030">
        <w:t xml:space="preserve"> due to the </w:t>
      </w:r>
      <w:r w:rsidR="00257030">
        <w:t>time trend?</w:t>
      </w:r>
    </w:p>
    <w:p w:rsidR="0015287C" w:rsidRDefault="0009019D" w:rsidP="00257030">
      <w:pPr>
        <w:pStyle w:val="Titre3"/>
        <w:jc w:val="both"/>
      </w:pPr>
      <w:bookmarkStart w:id="8" w:name="non-state"/>
      <w:bookmarkEnd w:id="7"/>
      <w:r>
        <w:lastRenderedPageBreak/>
        <w:t>2.1.2 Non-State</w:t>
      </w:r>
    </w:p>
    <w:p w:rsidR="0015287C" w:rsidRDefault="0009019D" w:rsidP="00257030">
      <w:pPr>
        <w:pStyle w:val="FirstParagraph"/>
        <w:jc w:val="both"/>
      </w:pPr>
      <w:r>
        <w:rPr>
          <w:noProof/>
        </w:rPr>
        <w:drawing>
          <wp:inline distT="0" distB="0" distL="0" distR="0">
            <wp:extent cx="5334000" cy="40005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202407_point_these_files/figure-docx/unnamed-chunk-15-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increasing trend before treatment</w:t>
      </w:r>
      <w:r>
        <w:t>, level of commitments increases significantly at t=0, then follows a decreasing trend until t=2, then returns to a level equivalent to that at t=0 at t=3.</w:t>
      </w:r>
    </w:p>
    <w:p w:rsidR="00257030" w:rsidRDefault="0009019D" w:rsidP="00257030">
      <w:pPr>
        <w:pStyle w:val="Corpsdetexte"/>
        <w:jc w:val="both"/>
      </w:pPr>
      <w:r>
        <w:rPr>
          <w:b/>
          <w:bCs/>
        </w:rPr>
        <w:t>Comment</w:t>
      </w:r>
      <w:r>
        <w:t>: clear obser</w:t>
      </w:r>
      <w:r>
        <w:t xml:space="preserve">vable impact of the treatment in t=0. However, the effect on the pre-treatment trend is not obvious when looking at t=3. It seems more like a </w:t>
      </w:r>
      <w:r w:rsidR="00257030">
        <w:t>short-term</w:t>
      </w:r>
      <w:r>
        <w:t xml:space="preserve"> surge in t=0, going back to pre-treatment trend (or a slightly lower trend) in the following periods.</w:t>
      </w:r>
      <w:r w:rsidR="00257030">
        <w:t xml:space="preserve"> </w:t>
      </w:r>
      <w:r w:rsidR="00257030">
        <w:t>Is the increasing trend before treatment due to the time trend?</w:t>
      </w:r>
    </w:p>
    <w:p w:rsidR="0015287C" w:rsidRDefault="0015287C" w:rsidP="00257030">
      <w:pPr>
        <w:pStyle w:val="Corpsdetexte"/>
        <w:jc w:val="both"/>
      </w:pPr>
    </w:p>
    <w:p w:rsidR="0015287C" w:rsidRDefault="0009019D" w:rsidP="00257030">
      <w:pPr>
        <w:pStyle w:val="Titre4"/>
        <w:jc w:val="both"/>
      </w:pPr>
      <w:bookmarkStart w:id="9" w:name="ngos"/>
      <w:r>
        <w:lastRenderedPageBreak/>
        <w:t>2</w:t>
      </w:r>
      <w:r>
        <w:t>.1.2.1 NGOs</w:t>
      </w:r>
    </w:p>
    <w:p w:rsidR="0015287C" w:rsidRDefault="0009019D" w:rsidP="00257030">
      <w:pPr>
        <w:pStyle w:val="FirstParagraph"/>
        <w:jc w:val="both"/>
      </w:pPr>
      <w:r>
        <w:rPr>
          <w:noProof/>
        </w:rPr>
        <w:drawing>
          <wp:inline distT="0" distB="0" distL="0" distR="0">
            <wp:extent cx="5334000" cy="4000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202407_point_these_files/figure-docx/unnamed-chunk-16-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same trend than for the aggregated non-State channels above, with a significant impact of treatment in t=0.</w:t>
      </w:r>
    </w:p>
    <w:p w:rsidR="0015287C" w:rsidRDefault="0009019D" w:rsidP="00257030">
      <w:pPr>
        <w:pStyle w:val="Corpsdetexte"/>
        <w:jc w:val="both"/>
      </w:pPr>
      <w:r>
        <w:rPr>
          <w:b/>
          <w:bCs/>
        </w:rPr>
        <w:t>Comment</w:t>
      </w:r>
      <w:r>
        <w:t>: It raises the question of the post-treatment trend: back to pre-treatment or stagnation?</w:t>
      </w:r>
      <w:r w:rsidR="00257030">
        <w:t xml:space="preserve"> </w:t>
      </w:r>
      <w:r w:rsidR="00257030">
        <w:t>Is the increasing trend before treatment due to the time trend?</w:t>
      </w:r>
    </w:p>
    <w:p w:rsidR="0015287C" w:rsidRDefault="0009019D" w:rsidP="00257030">
      <w:pPr>
        <w:pStyle w:val="Titre4"/>
        <w:jc w:val="both"/>
      </w:pPr>
      <w:bookmarkStart w:id="10" w:name="multilaterals"/>
      <w:bookmarkEnd w:id="9"/>
      <w:r>
        <w:lastRenderedPageBreak/>
        <w:t>2.1.2.2 Multilaterals</w:t>
      </w:r>
    </w:p>
    <w:p w:rsidR="0015287C" w:rsidRDefault="0009019D" w:rsidP="00257030">
      <w:pPr>
        <w:pStyle w:val="FirstParagraph"/>
        <w:jc w:val="both"/>
      </w:pPr>
      <w:r>
        <w:rPr>
          <w:noProof/>
        </w:rPr>
        <w:drawing>
          <wp:inline distT="0" distB="0" distL="0" distR="0">
            <wp:extent cx="5334000" cy="40005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202407_point_these_files/figure-docx/unnamed-chunk-17-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same trend than for the aggregated non-State channels and NGOs above.</w:t>
      </w:r>
    </w:p>
    <w:p w:rsidR="0015287C" w:rsidRDefault="0009019D" w:rsidP="00257030">
      <w:pPr>
        <w:pStyle w:val="Corpsdetexte"/>
        <w:jc w:val="both"/>
      </w:pPr>
      <w:r>
        <w:rPr>
          <w:b/>
          <w:bCs/>
        </w:rPr>
        <w:t>Comment</w:t>
      </w:r>
      <w:r>
        <w:t>: same as above. Do we see a different between earmarked and un-earmarked funds? Between the two different types of earmarked funds (institutional sub-accounts v</w:t>
      </w:r>
      <w:r>
        <w:t>s. pass-through providers)?</w:t>
      </w:r>
    </w:p>
    <w:p w:rsidR="0015287C" w:rsidRDefault="0009019D" w:rsidP="00257030">
      <w:pPr>
        <w:pStyle w:val="Titre2"/>
        <w:jc w:val="both"/>
      </w:pPr>
      <w:bookmarkStart w:id="11" w:name="X14a37cd0cfef1530361fa1e461c41cb37302f78"/>
      <w:bookmarkEnd w:id="6"/>
      <w:bookmarkEnd w:id="8"/>
      <w:bookmarkEnd w:id="10"/>
      <w:r>
        <w:lastRenderedPageBreak/>
        <w:t>2.3 Share of commitments delivered through non-State channels</w:t>
      </w:r>
    </w:p>
    <w:p w:rsidR="0015287C" w:rsidRDefault="0009019D" w:rsidP="00257030">
      <w:pPr>
        <w:pStyle w:val="Titre3"/>
        <w:jc w:val="both"/>
      </w:pPr>
      <w:bookmarkStart w:id="12" w:name="total-1"/>
      <w:r>
        <w:t>2.3.1 Total</w:t>
      </w:r>
    </w:p>
    <w:p w:rsidR="0015287C" w:rsidRDefault="0009019D" w:rsidP="00257030">
      <w:pPr>
        <w:pStyle w:val="FirstParagraph"/>
        <w:jc w:val="both"/>
      </w:pPr>
      <w:r>
        <w:rPr>
          <w:noProof/>
        </w:rPr>
        <w:drawing>
          <wp:inline distT="0" distB="0" distL="0" distR="0">
            <wp:extent cx="5334000" cy="40005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202407_point_these_files/figure-docx/unnamed-chunk-19-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increasing pre-treatment trend (time trend). No observable impact of treatment in t=0, slowing trend in t=1, flattening trend in t=2 and t=3.</w:t>
      </w:r>
    </w:p>
    <w:p w:rsidR="0015287C" w:rsidRDefault="0009019D" w:rsidP="00257030">
      <w:pPr>
        <w:pStyle w:val="Corpsdetexte"/>
        <w:jc w:val="both"/>
      </w:pPr>
      <w:r>
        <w:rPr>
          <w:b/>
          <w:bCs/>
        </w:rPr>
        <w:t>Comment</w:t>
      </w:r>
      <w:r>
        <w:t>: no clear interpretation. No impact? But if so, how to explain the lack of strong effect on overall comm</w:t>
      </w:r>
      <w:r>
        <w:t>itments but the significant one on commitments delivered through non-State channels? Is it that the volume of and/or the effect on latter are too small?</w:t>
      </w:r>
    </w:p>
    <w:p w:rsidR="0015287C" w:rsidRDefault="0009019D" w:rsidP="00257030">
      <w:pPr>
        <w:pStyle w:val="Titre4"/>
        <w:jc w:val="both"/>
      </w:pPr>
      <w:bookmarkStart w:id="13" w:name="by-donor-type"/>
      <w:r>
        <w:lastRenderedPageBreak/>
        <w:t>2.3.1.1 By donor type</w:t>
      </w:r>
    </w:p>
    <w:p w:rsidR="0015287C" w:rsidRDefault="0009019D" w:rsidP="00257030">
      <w:pPr>
        <w:pStyle w:val="FirstParagraph"/>
        <w:jc w:val="both"/>
      </w:pPr>
      <w:r>
        <w:rPr>
          <w:noProof/>
        </w:rPr>
        <w:drawing>
          <wp:inline distT="0" distB="0" distL="0" distR="0">
            <wp:extent cx="5334000" cy="40005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202407_point_these_files/figure-docx/unnamed-chunk-20-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observable differences between donor type. Increasing pre-treatm</w:t>
      </w:r>
      <w:r>
        <w:t>ent trends for both bilateral and multilateral donors (no clear pre-treatment trend for private sector donors). Positive impact of treatment on the outcome in t=-1 for both bilateral and multilateral donor, even though it is clearer for the former (no clea</w:t>
      </w:r>
      <w:r>
        <w:t>r impact for private sector donors or slightly decreasing in the short-term).</w:t>
      </w:r>
    </w:p>
    <w:p w:rsidR="0015287C" w:rsidRDefault="0009019D" w:rsidP="00257030">
      <w:pPr>
        <w:pStyle w:val="Corpsdetexte"/>
        <w:jc w:val="both"/>
      </w:pPr>
      <w:r>
        <w:rPr>
          <w:b/>
          <w:bCs/>
        </w:rPr>
        <w:t>Comment</w:t>
      </w:r>
      <w:r>
        <w:t>: the impact of the treatment seems to occur as soon as t-1. Several explanations could explain this: measurement error in the year attributed to disasters, donors have st</w:t>
      </w:r>
      <w:r>
        <w:t>arted committed new funds before the recipient government declared a state of emergency (and call for external assistance), good forecasting leading to investments in preparedness, etc. This stresses the need to use a physical measure of the extreme events</w:t>
      </w:r>
      <w:r>
        <w:t>.</w:t>
      </w:r>
    </w:p>
    <w:p w:rsidR="0015287C" w:rsidRDefault="0009019D" w:rsidP="00257030">
      <w:pPr>
        <w:pStyle w:val="Titre4"/>
        <w:jc w:val="both"/>
      </w:pPr>
      <w:bookmarkStart w:id="14" w:name="by-recipient-income-group"/>
      <w:bookmarkEnd w:id="13"/>
      <w:r>
        <w:lastRenderedPageBreak/>
        <w:t>2.3.1.2 By recipient income group</w:t>
      </w:r>
    </w:p>
    <w:p w:rsidR="0015287C" w:rsidRDefault="0009019D" w:rsidP="00257030">
      <w:pPr>
        <w:pStyle w:val="FirstParagraph"/>
        <w:jc w:val="both"/>
      </w:pPr>
      <w:r>
        <w:rPr>
          <w:noProof/>
        </w:rPr>
        <w:drawing>
          <wp:inline distT="0" distB="0" distL="0" distR="0">
            <wp:extent cx="5334000" cy="40005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202407_point_these_files/figure-docx/unnamed-chunk-21-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similar trend for each income group, with a flat pre-treatment trend, a small change in trend level in t=-1 or t=0, and a flat post-treatment trend.</w:t>
      </w:r>
    </w:p>
    <w:p w:rsidR="0015287C" w:rsidRDefault="0009019D" w:rsidP="00257030">
      <w:pPr>
        <w:pStyle w:val="Corpsdetexte"/>
        <w:jc w:val="both"/>
      </w:pPr>
      <w:r>
        <w:rPr>
          <w:b/>
          <w:bCs/>
        </w:rPr>
        <w:t>Comment</w:t>
      </w:r>
      <w:r>
        <w:t xml:space="preserve">: the “treatment effect” </w:t>
      </w:r>
      <w:r>
        <w:t>seems more obvious in t=-1 for LDCs and in t=0 for MADCTs. Most MADCTs are SIDS, can it be related? Maybe is it due to different disaster types (fast-onset, such as tropical storms, in SIDS)? Or maybe (international) NGOs are more likely to be already on t</w:t>
      </w:r>
      <w:r>
        <w:t>he ground in LDCs, so it is faster to channel funds to them before/once a disaster heats?</w:t>
      </w:r>
    </w:p>
    <w:p w:rsidR="0015287C" w:rsidRDefault="0009019D" w:rsidP="00257030">
      <w:pPr>
        <w:pStyle w:val="Titre3"/>
        <w:jc w:val="both"/>
      </w:pPr>
      <w:bookmarkStart w:id="15" w:name="channel-of-delivery"/>
      <w:bookmarkEnd w:id="12"/>
      <w:bookmarkEnd w:id="14"/>
      <w:r>
        <w:lastRenderedPageBreak/>
        <w:t>2.3.2 Channel of delivery</w:t>
      </w:r>
    </w:p>
    <w:p w:rsidR="0015287C" w:rsidRDefault="0009019D" w:rsidP="00257030">
      <w:pPr>
        <w:pStyle w:val="Titre4"/>
        <w:jc w:val="both"/>
      </w:pPr>
      <w:bookmarkStart w:id="16" w:name="ngos-1"/>
      <w:r>
        <w:t>2.3.2.1 NGOs</w:t>
      </w:r>
    </w:p>
    <w:p w:rsidR="0015287C" w:rsidRDefault="0009019D" w:rsidP="00257030">
      <w:pPr>
        <w:pStyle w:val="FirstParagraph"/>
        <w:jc w:val="both"/>
      </w:pPr>
      <w:r>
        <w:rPr>
          <w:noProof/>
        </w:rPr>
        <w:drawing>
          <wp:inline distT="0" distB="0" distL="0" distR="0">
            <wp:extent cx="5334000" cy="40005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202407_point_these_files/figure-docx/unnamed-chunk-22-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change in trend (level) in t=-1, and a flat post-treatment trend.</w:t>
      </w:r>
    </w:p>
    <w:p w:rsidR="0015287C" w:rsidRDefault="0009019D" w:rsidP="00257030">
      <w:pPr>
        <w:pStyle w:val="Corpsdetexte"/>
        <w:jc w:val="both"/>
      </w:pPr>
      <w:r>
        <w:rPr>
          <w:b/>
          <w:bCs/>
        </w:rPr>
        <w:t>Comment</w:t>
      </w:r>
      <w:r>
        <w:t>: is it really a change in trend (lev</w:t>
      </w:r>
      <w:r>
        <w:t>el) in t=1 or t=0 or only a lower average level in t=-2? In any case, the pre- and post-treatment trends differ.</w:t>
      </w:r>
    </w:p>
    <w:p w:rsidR="0015287C" w:rsidRDefault="0009019D" w:rsidP="00257030">
      <w:pPr>
        <w:pStyle w:val="Titre4"/>
        <w:jc w:val="both"/>
      </w:pPr>
      <w:bookmarkStart w:id="17" w:name="multilaterals-1"/>
      <w:bookmarkEnd w:id="16"/>
      <w:r>
        <w:lastRenderedPageBreak/>
        <w:t>2.3.2.2 Multilaterals</w:t>
      </w:r>
    </w:p>
    <w:p w:rsidR="0015287C" w:rsidRDefault="0009019D" w:rsidP="00257030">
      <w:pPr>
        <w:pStyle w:val="FirstParagraph"/>
        <w:jc w:val="both"/>
      </w:pPr>
      <w:r>
        <w:rPr>
          <w:noProof/>
        </w:rPr>
        <w:drawing>
          <wp:inline distT="0" distB="0" distL="0" distR="0">
            <wp:extent cx="5334000" cy="40005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202407_point_these_files/figure-docx/unnamed-chunk-23-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change in trend (level) in t=0, and a flat post-treatment trend.</w:t>
      </w:r>
    </w:p>
    <w:p w:rsidR="0015287C" w:rsidRDefault="0009019D" w:rsidP="00257030">
      <w:pPr>
        <w:pStyle w:val="Corpsdetexte"/>
        <w:jc w:val="both"/>
      </w:pPr>
      <w:r>
        <w:rPr>
          <w:b/>
          <w:bCs/>
        </w:rPr>
        <w:t>Comment</w:t>
      </w:r>
      <w:r>
        <w:t>: it tends to reinforce the hypo</w:t>
      </w:r>
      <w:r>
        <w:t>thesis that what we observed above in t=-1 is not an anticipation effect, but is only due to a lower level in t=-2. Here, the change in trend and trend level in t=0 is clearer. The share of commitments delivered through multilateral donors increase the sam</w:t>
      </w:r>
      <w:r>
        <w:t>e year the disaster occurs, but this share tends to stagnate in the following periods. Again, there might be differences between un/earmarked funds.</w:t>
      </w:r>
    </w:p>
    <w:p w:rsidR="0015287C" w:rsidRDefault="0009019D" w:rsidP="00257030">
      <w:pPr>
        <w:pStyle w:val="Titre2"/>
        <w:jc w:val="both"/>
      </w:pPr>
      <w:bookmarkStart w:id="18" w:name="projects"/>
      <w:bookmarkEnd w:id="11"/>
      <w:bookmarkEnd w:id="15"/>
      <w:bookmarkEnd w:id="17"/>
      <w:r>
        <w:lastRenderedPageBreak/>
        <w:t>2.4 Projects</w:t>
      </w:r>
    </w:p>
    <w:p w:rsidR="0015287C" w:rsidRDefault="0009019D" w:rsidP="00257030">
      <w:pPr>
        <w:pStyle w:val="Titre3"/>
        <w:jc w:val="both"/>
      </w:pPr>
      <w:bookmarkStart w:id="19" w:name="number"/>
      <w:r>
        <w:t>2.4.1 Number</w:t>
      </w:r>
    </w:p>
    <w:p w:rsidR="0015287C" w:rsidRDefault="0009019D" w:rsidP="00257030">
      <w:pPr>
        <w:pStyle w:val="FirstParagraph"/>
        <w:jc w:val="both"/>
      </w:pPr>
      <w:r>
        <w:rPr>
          <w:noProof/>
        </w:rPr>
        <w:drawing>
          <wp:inline distT="0" distB="0" distL="0" distR="0">
            <wp:extent cx="5334000" cy="40005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202407_point_these_files/figure-docx/unnamed-chunk-24-1.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it is not clear if the observable change in level observed in t=</w:t>
      </w:r>
      <w:r>
        <w:t>0 is due to the treatment effect, a lower average level in t=-1, or an anticipation effect leading to the latter. However, there seems to be a difference between pre- and post-treatment trends.</w:t>
      </w:r>
    </w:p>
    <w:p w:rsidR="0015287C" w:rsidRDefault="0009019D" w:rsidP="00257030">
      <w:pPr>
        <w:pStyle w:val="Corpsdetexte"/>
        <w:jc w:val="both"/>
      </w:pPr>
      <w:r>
        <w:rPr>
          <w:b/>
          <w:bCs/>
        </w:rPr>
        <w:t>Comment</w:t>
      </w:r>
      <w:r>
        <w:t>: it is not possible to say if the treatment leads to a</w:t>
      </w:r>
      <w:r>
        <w:t>n increase in the number of projects in t=0. However, the number of project per dyad is increasing pre-treatment and seems to stagnate post-treatment. This would imply more concentration (or less fragmentation) of funds in recipient countries.</w:t>
      </w:r>
    </w:p>
    <w:p w:rsidR="0015287C" w:rsidRDefault="0009019D" w:rsidP="00257030">
      <w:pPr>
        <w:pStyle w:val="Titre3"/>
        <w:jc w:val="both"/>
      </w:pPr>
      <w:bookmarkStart w:id="20" w:name="average-size"/>
      <w:bookmarkEnd w:id="19"/>
      <w:r>
        <w:lastRenderedPageBreak/>
        <w:t>2.4.2 Averag</w:t>
      </w:r>
      <w:r>
        <w:t>e size</w:t>
      </w:r>
    </w:p>
    <w:p w:rsidR="0015287C" w:rsidRDefault="0009019D" w:rsidP="00257030">
      <w:pPr>
        <w:pStyle w:val="FirstParagraph"/>
        <w:jc w:val="both"/>
      </w:pPr>
      <w:r>
        <w:rPr>
          <w:noProof/>
        </w:rPr>
        <w:drawing>
          <wp:inline distT="0" distB="0" distL="0" distR="0">
            <wp:extent cx="5334000" cy="40005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202407_point_these_files/figure-docx/unnamed-chunk-25-1.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no clear trend, except maybe a small decrease in the average size of projects in t=0 and an increase in t=1 and t=2 (tbc).</w:t>
      </w:r>
    </w:p>
    <w:p w:rsidR="0015287C" w:rsidRDefault="0009019D" w:rsidP="00257030">
      <w:pPr>
        <w:pStyle w:val="Corpsdetexte"/>
        <w:jc w:val="both"/>
      </w:pPr>
      <w:r>
        <w:rPr>
          <w:b/>
          <w:bCs/>
        </w:rPr>
        <w:t>Comment</w:t>
      </w:r>
      <w:r>
        <w:t>: no clear observable effect of treatment on the average size of projects.</w:t>
      </w:r>
    </w:p>
    <w:p w:rsidR="0015287C" w:rsidRDefault="0009019D" w:rsidP="00257030">
      <w:pPr>
        <w:pStyle w:val="Titre2"/>
        <w:jc w:val="both"/>
      </w:pPr>
      <w:bookmarkStart w:id="21" w:name="sectors"/>
      <w:bookmarkEnd w:id="18"/>
      <w:bookmarkEnd w:id="20"/>
      <w:r>
        <w:lastRenderedPageBreak/>
        <w:t>2.5 Sectors</w:t>
      </w:r>
    </w:p>
    <w:p w:rsidR="0015287C" w:rsidRDefault="0009019D" w:rsidP="00257030">
      <w:pPr>
        <w:pStyle w:val="Titre3"/>
        <w:jc w:val="both"/>
      </w:pPr>
      <w:bookmarkStart w:id="22" w:name="number-of-sectors"/>
      <w:r>
        <w:t>2.5.1 Number of</w:t>
      </w:r>
      <w:r>
        <w:t xml:space="preserve"> sectors</w:t>
      </w:r>
    </w:p>
    <w:p w:rsidR="0015287C" w:rsidRDefault="0009019D" w:rsidP="00257030">
      <w:pPr>
        <w:pStyle w:val="FirstParagraph"/>
        <w:jc w:val="both"/>
      </w:pPr>
      <w:r>
        <w:rPr>
          <w:noProof/>
        </w:rPr>
        <w:drawing>
          <wp:inline distT="0" distB="0" distL="0" distR="0">
            <wp:extent cx="5334000" cy="40005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202407_point_these_files/figure-docx/unnamed-chunk-26-1.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no clear trend, except maybe a flattening post-treatment trend?</w:t>
      </w:r>
    </w:p>
    <w:p w:rsidR="0015287C" w:rsidRDefault="0009019D" w:rsidP="00257030">
      <w:pPr>
        <w:pStyle w:val="Corpsdetexte"/>
        <w:jc w:val="both"/>
      </w:pPr>
      <w:r>
        <w:rPr>
          <w:b/>
          <w:bCs/>
        </w:rPr>
        <w:t>Comment</w:t>
      </w:r>
      <w:r>
        <w:t>: no clear observable effect of treatment on the average number of sectors with positive commitments. This would imply that disasters have no (or a small negat</w:t>
      </w:r>
      <w:r>
        <w:t>ive) effect on the extensive margin of donors’ portfolio in affected countries.</w:t>
      </w:r>
    </w:p>
    <w:p w:rsidR="0015287C" w:rsidRDefault="0009019D" w:rsidP="00257030">
      <w:pPr>
        <w:pStyle w:val="Titre3"/>
        <w:jc w:val="both"/>
      </w:pPr>
      <w:bookmarkStart w:id="23" w:name="number-of-purposes"/>
      <w:bookmarkEnd w:id="22"/>
      <w:r>
        <w:lastRenderedPageBreak/>
        <w:t>2.5.2 Number of purposes</w:t>
      </w:r>
    </w:p>
    <w:p w:rsidR="0015287C" w:rsidRDefault="0009019D" w:rsidP="00257030">
      <w:pPr>
        <w:pStyle w:val="FirstParagraph"/>
        <w:jc w:val="both"/>
      </w:pPr>
      <w:r>
        <w:rPr>
          <w:noProof/>
        </w:rPr>
        <w:drawing>
          <wp:inline distT="0" distB="0" distL="0" distR="0">
            <wp:extent cx="5334000" cy="40005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202407_point_these_files/figure-docx/unnamed-chunk-27-1.png"/>
                    <pic:cNvPicPr>
                      <a:picLocks noChangeAspect="1" noChangeArrowheads="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rsidR="0015287C" w:rsidRDefault="0009019D" w:rsidP="00257030">
      <w:pPr>
        <w:pStyle w:val="Corpsdetexte"/>
        <w:jc w:val="both"/>
      </w:pPr>
      <w:r>
        <w:rPr>
          <w:b/>
          <w:bCs/>
        </w:rPr>
        <w:t>Graph reading</w:t>
      </w:r>
      <w:r>
        <w:t>: no clear trend, except maybe a flattening post-treatment trend?</w:t>
      </w:r>
    </w:p>
    <w:p w:rsidR="0015287C" w:rsidRDefault="0009019D" w:rsidP="00172123">
      <w:pPr>
        <w:pStyle w:val="Corpsdetexte"/>
        <w:jc w:val="both"/>
      </w:pPr>
      <w:r>
        <w:rPr>
          <w:b/>
          <w:bCs/>
        </w:rPr>
        <w:t>Comment</w:t>
      </w:r>
      <w:r>
        <w:t>: no clear observable effect of treatment on the average number of sub-sectors (“purposes”) with positive commitments.</w:t>
      </w:r>
      <w:bookmarkStart w:id="24" w:name="_GoBack"/>
      <w:bookmarkEnd w:id="5"/>
      <w:bookmarkEnd w:id="21"/>
      <w:bookmarkEnd w:id="23"/>
      <w:bookmarkEnd w:id="24"/>
    </w:p>
    <w:sectPr w:rsidR="0015287C">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19D" w:rsidRDefault="0009019D">
      <w:pPr>
        <w:spacing w:after="0"/>
      </w:pPr>
      <w:r>
        <w:separator/>
      </w:r>
    </w:p>
  </w:endnote>
  <w:endnote w:type="continuationSeparator" w:id="0">
    <w:p w:rsidR="0009019D" w:rsidRDefault="000901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19D" w:rsidRDefault="0009019D">
      <w:r>
        <w:separator/>
      </w:r>
    </w:p>
  </w:footnote>
  <w:footnote w:type="continuationSeparator" w:id="0">
    <w:p w:rsidR="0009019D" w:rsidRDefault="00090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01EE67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E8690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87C"/>
    <w:rsid w:val="0009019D"/>
    <w:rsid w:val="0015287C"/>
    <w:rsid w:val="00172123"/>
    <w:rsid w:val="00257030"/>
    <w:rsid w:val="005677F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80B5"/>
  <w15:docId w15:val="{8FED83BF-A5A0-449C-B0E4-4C4D72C7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19</Pages>
  <Words>2231</Words>
  <Characters>12274</Characters>
  <Application>Microsoft Office Word</Application>
  <DocSecurity>0</DocSecurity>
  <Lines>102</Lines>
  <Paragraphs>28</Paragraphs>
  <ScaleCrop>false</ScaleCrop>
  <Company>Universite Clermont Auvergne</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thèse</dc:title>
  <dc:creator/>
  <cp:keywords/>
  <cp:lastModifiedBy>Paul VERNUS</cp:lastModifiedBy>
  <cp:revision>4</cp:revision>
  <dcterms:created xsi:type="dcterms:W3CDTF">2024-07-01T14:00:00Z</dcterms:created>
  <dcterms:modified xsi:type="dcterms:W3CDTF">2024-07-01T14:42:00Z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2024-07-01</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