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35935BA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Centro de Ciências da Administração e Socio-Econômicas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17E6C2C7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A15372">
        <w:rPr>
          <w:rStyle w:val="txtarial10ptblack"/>
          <w:b/>
          <w:sz w:val="22"/>
          <w:szCs w:val="22"/>
        </w:rPr>
        <w:t>QE</w:t>
      </w:r>
      <w:r w:rsidRPr="00E3355C">
        <w:rPr>
          <w:rStyle w:val="txtarial10ptblack"/>
          <w:b/>
          <w:sz w:val="22"/>
          <w:szCs w:val="22"/>
        </w:rPr>
        <w:t xml:space="preserve">1 </w:t>
      </w:r>
      <w:r w:rsidR="00A15372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A15372">
        <w:rPr>
          <w:rStyle w:val="txtarial10ptblack"/>
          <w:b/>
          <w:sz w:val="22"/>
          <w:szCs w:val="22"/>
        </w:rPr>
        <w:t>Métodos Quantitativos em Economia</w:t>
      </w:r>
      <w:r w:rsidRPr="00E3355C">
        <w:rPr>
          <w:rStyle w:val="txtarial10ptblack"/>
          <w:b/>
          <w:sz w:val="22"/>
          <w:szCs w:val="22"/>
        </w:rPr>
        <w:t xml:space="preserve">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21DB442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Métodos Quantitativos em 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1978" w:type="dxa"/>
          </w:tcPr>
          <w:p w14:paraId="29A1DDBB" w14:textId="7B8D22FF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MQE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20446E6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DC2C5F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662D96F2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923555">
              <w:rPr>
                <w:rFonts w:eastAsia="Arial Unicode MS"/>
                <w:color w:val="000000"/>
                <w:sz w:val="22"/>
                <w:szCs w:val="22"/>
              </w:rPr>
              <w:t>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923555">
              <w:rPr>
                <w:rFonts w:eastAsia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825CCD" w:rsidRPr="00E3355C" w14:paraId="1461115A" w14:textId="77777777" w:rsidTr="00C141B0">
        <w:tc>
          <w:tcPr>
            <w:tcW w:w="8494" w:type="dxa"/>
            <w:gridSpan w:val="4"/>
          </w:tcPr>
          <w:p w14:paraId="065A875C" w14:textId="77777777" w:rsidR="00825CCD" w:rsidRDefault="00825CCD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3027BECA" w14:textId="77777777" w:rsid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11MTM1 – Matemática I</w:t>
            </w:r>
          </w:p>
          <w:p w14:paraId="6818A439" w14:textId="3B96CED1" w:rsidR="00825CCD" w:rsidRPr="00825CCD" w:rsidRDefault="00825CCD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23MTM2</w:t>
            </w:r>
            <w:r w:rsidR="004C3648">
              <w:rPr>
                <w:rFonts w:eastAsia="Arial Unicode MS"/>
                <w:color w:val="000000"/>
                <w:sz w:val="22"/>
                <w:szCs w:val="22"/>
              </w:rPr>
              <w:t xml:space="preserve"> – Matemática II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0B5B3CF0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A15372">
              <w:rPr>
                <w:rFonts w:eastAsia="Arial Unicode MS"/>
                <w:color w:val="000000"/>
                <w:sz w:val="22"/>
                <w:szCs w:val="22"/>
              </w:rPr>
              <w:t>Condições de 1ª e 2ª ordens para máximos e mínimos irrestritos. Aplicações econômicas de otimização irrestrita. Condições de 1ª ordem para otimização condicionada com restrições de igualdade e desigualdade. Método dos multiplicadores de Lagrange e de Kuhn Tucker. Condições de 2ª ordem para otimização condicionada com restrições de igualdade e desigualdade. Interpretação dos multiplicadores em problemas de otimização. Teorema do envelope. Funções homogêneas, homotéticas, côncavas e quase côncavas. Aplicações econômicas dos problemas de otimização relacionados à maximização de utilidade e demanda maximização de lucros, custos, ótimo de Pareto e teoremas fundamentais de bem-estar. Programação linear.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0C94E6A2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r aos alunos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as principais técnicas de otimização estática, bem como suas principais aplicações em Economia.</w:t>
            </w:r>
          </w:p>
          <w:p w14:paraId="559AFB30" w14:textId="716CE4C6" w:rsidR="004C34C4" w:rsidRPr="00E3355C" w:rsidRDefault="008819C1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Ao final do curso espera-se que o aluno seja capaz de utilizar o ferramental desenvolvido na disciplina em aplicações à Teoria Econômica (microeconomia, macroeconomia e disciplinas correlatas).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765E70AE" w14:textId="664BDC44" w:rsidR="00C55A37" w:rsidRPr="00C55A37" w:rsidRDefault="00906C07" w:rsidP="00D2564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</w:t>
            </w:r>
            <w:r w:rsidR="008113A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revisão de conceitos básicos</w:t>
            </w:r>
          </w:p>
          <w:p w14:paraId="1D403576" w14:textId="2D68E886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Introduçã</w:t>
            </w:r>
            <w:r w:rsidR="008113AC">
              <w:rPr>
                <w:rFonts w:eastAsia="Arial Unicode MS"/>
                <w:color w:val="000000"/>
                <w:sz w:val="22"/>
                <w:szCs w:val="22"/>
              </w:rPr>
              <w:t>o e modelos econômicos</w:t>
            </w:r>
          </w:p>
          <w:p w14:paraId="788E0A46" w14:textId="69E07B94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Nicholson e Snyder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cap. 1)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, Chiang e Wainwright (caps. 1 e 2)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4FD641B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C6707A">
              <w:rPr>
                <w:rFonts w:eastAsia="Arial Unicode MS"/>
                <w:color w:val="000000"/>
                <w:sz w:val="22"/>
                <w:szCs w:val="22"/>
              </w:rPr>
              <w:t>Hoy et al. (cap. 1)</w:t>
            </w:r>
          </w:p>
          <w:p w14:paraId="669C4899" w14:textId="344AE2DF" w:rsidR="00233B1D" w:rsidRDefault="000D02BA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Revisão de cálculo univariado </w:t>
            </w:r>
          </w:p>
          <w:p w14:paraId="5E924213" w14:textId="1939759E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Chiang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 xml:space="preserve">e Wainwright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6, 7 e 10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42DA301E" w14:textId="476E68A2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ED0C7D">
              <w:rPr>
                <w:rFonts w:eastAsia="Arial Unicode MS"/>
                <w:color w:val="000000"/>
                <w:sz w:val="22"/>
                <w:szCs w:val="22"/>
              </w:rPr>
              <w:t xml:space="preserve">Hoy et al. (caps. 4 e 5),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Simon e Blume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0D02BA">
              <w:rPr>
                <w:rFonts w:eastAsia="Arial Unicode MS"/>
                <w:color w:val="000000"/>
                <w:sz w:val="22"/>
                <w:szCs w:val="22"/>
              </w:rPr>
              <w:t>2, 4 e 5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).</w:t>
            </w:r>
          </w:p>
          <w:p w14:paraId="025DF9B0" w14:textId="77777777" w:rsidR="00C55A37" w:rsidRPr="00E3355C" w:rsidRDefault="00C55A3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5EFE792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C55A3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sem restrições</w:t>
            </w:r>
          </w:p>
          <w:p w14:paraId="190832B0" w14:textId="77777777" w:rsidR="00906C07" w:rsidRPr="00E3355C" w:rsidRDefault="00906C07" w:rsidP="004E2E64">
            <w:pPr>
              <w:pStyle w:val="PargrafodaLista"/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72727260" w:rsidR="008B7565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Valores ótimos e valores extremos</w:t>
            </w:r>
          </w:p>
          <w:p w14:paraId="757D6156" w14:textId="029F23DA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Chiang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Wainwright 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2ADC0DF9" w14:textId="562E3C05" w:rsidR="00132080" w:rsidRDefault="00132080" w:rsidP="00132080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D25684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1D14A03A" w14:textId="4C3C4C5C" w:rsidR="00132080" w:rsidRDefault="00D25684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necessárias e suficientes para máximos e mínimos irrestritos</w:t>
            </w:r>
          </w:p>
          <w:p w14:paraId="380AC80B" w14:textId="3E22263C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4</w:t>
            </w:r>
            <w:r w:rsidR="00FA4B31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), Chiang </w:t>
            </w:r>
            <w:r w:rsidR="00BB13B2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e Wainwright 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 w:rsidRPr="008819C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 w:rsidRPr="008819C1">
              <w:rPr>
                <w:rFonts w:eastAsia="Arial Unicode MS"/>
                <w:color w:val="000000"/>
                <w:sz w:val="22"/>
                <w:szCs w:val="22"/>
              </w:rPr>
              <w:t xml:space="preserve">.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D793579" w14:textId="69C105DA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Leitura complementar: 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Hoy et al. (caps.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6, 11 e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12</w:t>
            </w:r>
            <w:r w:rsidR="00372DB7">
              <w:rPr>
                <w:rFonts w:eastAsia="Arial Unicode MS"/>
                <w:color w:val="000000"/>
                <w:sz w:val="22"/>
                <w:szCs w:val="22"/>
              </w:rPr>
              <w:t xml:space="preserve">),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), Nicholson e Snyder (cap. 2)</w:t>
            </w:r>
          </w:p>
          <w:p w14:paraId="6E6507A8" w14:textId="38231A0B" w:rsidR="00132080" w:rsidRDefault="0039702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valor extremo e Teorema do valor médio</w:t>
            </w:r>
          </w:p>
          <w:p w14:paraId="25871E43" w14:textId="3C9BACCB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Stewart (cap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4</w:t>
            </w:r>
            <w:r w:rsidR="00FA4B31">
              <w:rPr>
                <w:rFonts w:eastAsia="Arial Unicode MS"/>
                <w:color w:val="000000"/>
                <w:sz w:val="22"/>
                <w:szCs w:val="22"/>
              </w:rPr>
              <w:t xml:space="preserve"> e 14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0C4B8229" w14:textId="3107B787" w:rsidR="00AD4DA9" w:rsidRDefault="00397029" w:rsidP="00AD4DA9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Mínimos e máximos locais</w:t>
            </w:r>
          </w:p>
          <w:p w14:paraId="7A54CBCF" w14:textId="40D85F3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17</w:t>
            </w:r>
            <w:r w:rsidR="00397029"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7EBF955D" w14:textId="56E778A8" w:rsidR="003B3545" w:rsidRDefault="003B3545" w:rsidP="003B3545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 estática comparativa</w:t>
            </w:r>
          </w:p>
          <w:p w14:paraId="090CBB7F" w14:textId="7E8DA819" w:rsidR="003B3545" w:rsidRDefault="003B3545" w:rsidP="003B3545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Nicholson e Snyder (cap. 2), </w:t>
            </w:r>
            <w:r w:rsidR="00746B97">
              <w:rPr>
                <w:rFonts w:eastAsia="Arial Unicode MS"/>
                <w:color w:val="000000"/>
                <w:sz w:val="22"/>
                <w:szCs w:val="22"/>
              </w:rPr>
              <w:t>Hoy et al. (</w:t>
            </w:r>
            <w:r w:rsidR="00602A42">
              <w:rPr>
                <w:rFonts w:eastAsia="Arial Unicode MS"/>
                <w:color w:val="000000"/>
                <w:sz w:val="22"/>
                <w:szCs w:val="22"/>
              </w:rPr>
              <w:t>cap. 14)</w:t>
            </w:r>
          </w:p>
          <w:p w14:paraId="10260FFD" w14:textId="0C4D1BE2" w:rsidR="00640CF6" w:rsidRDefault="00640CF6" w:rsidP="00640CF6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05336633" w14:textId="1BF065FB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Chiang </w:t>
            </w:r>
            <w:r w:rsidR="00BB13B2">
              <w:rPr>
                <w:rFonts w:eastAsia="Arial Unicode MS"/>
                <w:color w:val="000000"/>
                <w:sz w:val="22"/>
                <w:szCs w:val="22"/>
              </w:rPr>
              <w:t xml:space="preserve">e Wainwright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9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e 11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), Simon e Blume (cap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. 3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>,</w:t>
            </w:r>
            <w:r w:rsidR="003B3545">
              <w:rPr>
                <w:rFonts w:eastAsia="Arial Unicode MS"/>
                <w:color w:val="000000"/>
                <w:sz w:val="22"/>
                <w:szCs w:val="22"/>
              </w:rPr>
              <w:t xml:space="preserve"> 17</w:t>
            </w:r>
            <w:r w:rsidR="00BD3235">
              <w:rPr>
                <w:rFonts w:eastAsia="Arial Unicode MS"/>
                <w:color w:val="000000"/>
                <w:sz w:val="22"/>
                <w:szCs w:val="22"/>
              </w:rPr>
              <w:t xml:space="preserve"> e 22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)</w:t>
            </w:r>
          </w:p>
          <w:p w14:paraId="39861E23" w14:textId="3B3F1D5E" w:rsidR="00640CF6" w:rsidRDefault="00640CF6" w:rsidP="00640CF6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602A42">
              <w:rPr>
                <w:rFonts w:eastAsia="Arial Unicode MS"/>
                <w:color w:val="000000"/>
                <w:sz w:val="22"/>
                <w:szCs w:val="22"/>
              </w:rPr>
              <w:t xml:space="preserve">Hoy et al. (cap. 6, 12 e </w:t>
            </w:r>
            <w:r w:rsidR="00F36222">
              <w:rPr>
                <w:rFonts w:eastAsia="Arial Unicode MS"/>
                <w:color w:val="000000"/>
                <w:sz w:val="22"/>
                <w:szCs w:val="22"/>
              </w:rPr>
              <w:t>14)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45F36C8" w14:textId="29373023" w:rsidR="00D75D5A" w:rsidRPr="004E2E64" w:rsidRDefault="00B17059" w:rsidP="004E2E64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3B3545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Otimização estática com restrições</w:t>
            </w: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909DE9" w14:textId="52F5E24A" w:rsidR="00AD4DA9" w:rsidRDefault="00BB13B2" w:rsidP="00AD4DA9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igualdade</w:t>
            </w:r>
          </w:p>
          <w:p w14:paraId="3DF71896" w14:textId="6B2F8515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método dos multiplicadores de Lagrange</w:t>
            </w:r>
          </w:p>
          <w:p w14:paraId="67BEBA9D" w14:textId="321BF6DF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12), Nicholson e Snyder (cap. 2)</w:t>
            </w:r>
          </w:p>
          <w:p w14:paraId="3927FBD4" w14:textId="071FD4DB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 e 19)</w:t>
            </w:r>
          </w:p>
          <w:p w14:paraId="6B35800A" w14:textId="27C7B9B4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do diferencial total</w:t>
            </w:r>
          </w:p>
          <w:p w14:paraId="342BFE91" w14:textId="2E2F1E84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12)</w:t>
            </w:r>
          </w:p>
          <w:p w14:paraId="60B269E5" w14:textId="03EC4D0B" w:rsidR="00BB13B2" w:rsidRDefault="00BB13B2" w:rsidP="00BB13B2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Interpretando os multiplicadores de Lagrange</w:t>
            </w:r>
          </w:p>
          <w:p w14:paraId="1B545B3E" w14:textId="52D3B48D" w:rsidR="00BB13B2" w:rsidRDefault="00BB13B2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12)</w:t>
            </w:r>
            <w:r w:rsidR="00887890">
              <w:rPr>
                <w:rFonts w:eastAsia="Arial Unicode MS"/>
                <w:color w:val="000000"/>
                <w:sz w:val="22"/>
                <w:szCs w:val="22"/>
              </w:rPr>
              <w:t>, Nicholson e Snyder (cap. 2)</w:t>
            </w:r>
          </w:p>
          <w:p w14:paraId="601E6750" w14:textId="1EC25A7E" w:rsidR="00887890" w:rsidRDefault="00887890" w:rsidP="00BB13B2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21166260" w14:textId="24C843D9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 e estática comparativa</w:t>
            </w:r>
          </w:p>
          <w:p w14:paraId="05F9C8A5" w14:textId="0712831F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12)</w:t>
            </w:r>
          </w:p>
          <w:p w14:paraId="7295CC53" w14:textId="0E9B8AD0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(cap. 19)</w:t>
            </w:r>
          </w:p>
          <w:p w14:paraId="00291340" w14:textId="1546A34B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51F32DA4" w14:textId="589B6F28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12)</w:t>
            </w:r>
          </w:p>
          <w:p w14:paraId="5E043FF9" w14:textId="0E3DCFDC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Simon e Blume (caps. </w:t>
            </w:r>
            <w:r w:rsidR="00165321">
              <w:rPr>
                <w:rFonts w:eastAsia="Arial Unicode MS"/>
                <w:color w:val="000000"/>
                <w:sz w:val="22"/>
                <w:szCs w:val="22"/>
              </w:rPr>
              <w:t>18, 19 e 22)</w:t>
            </w:r>
          </w:p>
          <w:p w14:paraId="00ED6675" w14:textId="60EA4287" w:rsidR="00887890" w:rsidRDefault="00887890" w:rsidP="00887890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Otimização estática com restrições de desigualdade: Programação não-linear</w:t>
            </w:r>
          </w:p>
          <w:p w14:paraId="32D726CC" w14:textId="2A17AF95" w:rsidR="00887890" w:rsidRDefault="00887890" w:rsidP="00887890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Restrições de desigualdade e condições de Karush-Kuhn-Tucker</w:t>
            </w:r>
          </w:p>
          <w:p w14:paraId="69B7B8CC" w14:textId="74334C76" w:rsidR="00887890" w:rsidRDefault="00887890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13)</w:t>
            </w:r>
          </w:p>
          <w:p w14:paraId="6F09491E" w14:textId="17A446C0" w:rsidR="00165321" w:rsidRDefault="00165321" w:rsidP="00887890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(caps. 18 e 19)</w:t>
            </w:r>
          </w:p>
          <w:p w14:paraId="0589488C" w14:textId="6B5CC479" w:rsidR="00165321" w:rsidRDefault="00165321" w:rsidP="00165321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Condições de segunda ordem</w:t>
            </w:r>
          </w:p>
          <w:p w14:paraId="554E9E38" w14:textId="15AA6F1A" w:rsidR="00165321" w:rsidRDefault="00165321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8A5854">
              <w:rPr>
                <w:rFonts w:eastAsia="Arial Unicode MS"/>
                <w:color w:val="000000"/>
                <w:sz w:val="22"/>
                <w:szCs w:val="22"/>
              </w:rPr>
              <w:t>Chiang e Wainwright (cap. 13)</w:t>
            </w:r>
          </w:p>
          <w:p w14:paraId="4674FBCE" w14:textId="7E448AF1" w:rsidR="008A5854" w:rsidRDefault="008A5854" w:rsidP="00165321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2693417A" w14:textId="76384B93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do envelope em problemas de otimização com restrições</w:t>
            </w:r>
          </w:p>
          <w:p w14:paraId="140E922E" w14:textId="20638AD2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13)</w:t>
            </w:r>
          </w:p>
          <w:p w14:paraId="25D16CA3" w14:textId="1425C1D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19)</w:t>
            </w:r>
          </w:p>
          <w:p w14:paraId="078AE878" w14:textId="482C9C42" w:rsidR="008A5854" w:rsidRDefault="008A5854" w:rsidP="008A5854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 econômicas</w:t>
            </w:r>
          </w:p>
          <w:p w14:paraId="72736CCF" w14:textId="5DD8E5E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13)</w:t>
            </w:r>
          </w:p>
          <w:p w14:paraId="64F9A21E" w14:textId="4639C64D" w:rsidR="008A5854" w:rsidRDefault="008A5854" w:rsidP="008A5854">
            <w:pPr>
              <w:pStyle w:val="PargrafodaLista"/>
              <w:ind w:left="144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Simon e Blume (caps. 18, 19 e 22)</w:t>
            </w:r>
          </w:p>
          <w:p w14:paraId="1F79FB34" w14:textId="77777777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1C6381C6" w14:textId="2A3966A5" w:rsidR="007443E8" w:rsidRPr="004E2E64" w:rsidRDefault="007443E8" w:rsidP="004E2E64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Funções homogêneas e homotéticas</w:t>
            </w:r>
          </w:p>
          <w:p w14:paraId="30765A61" w14:textId="77777777" w:rsidR="007443E8" w:rsidRDefault="007443E8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16DB61" w14:textId="1B696F91" w:rsidR="007443E8" w:rsidRDefault="008A5854" w:rsidP="008A5854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>Funções homogêneas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 xml:space="preserve"> e o Teorema de Euler</w:t>
            </w:r>
          </w:p>
          <w:p w14:paraId="3F5226C4" w14:textId="37AE4196" w:rsidR="008A5854" w:rsidRPr="007443E8" w:rsidRDefault="008A5854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7443E8"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12)</w:t>
            </w:r>
          </w:p>
          <w:p w14:paraId="468F656E" w14:textId="5EBDD587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20)</w:t>
            </w:r>
          </w:p>
          <w:p w14:paraId="33B58970" w14:textId="30A2B3AE" w:rsidR="008A5854" w:rsidRDefault="008A5854" w:rsidP="007443E8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Funções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homotéticas</w:t>
            </w:r>
          </w:p>
          <w:p w14:paraId="70977693" w14:textId="40CE57DB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Simon e Blume (cap. 21)</w:t>
            </w:r>
          </w:p>
          <w:p w14:paraId="15C5DBA8" w14:textId="601C6DB6" w:rsidR="008A5854" w:rsidRDefault="008A5854" w:rsidP="008A585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</w:t>
            </w:r>
          </w:p>
          <w:p w14:paraId="39C40C31" w14:textId="77777777" w:rsidR="00F36222" w:rsidRDefault="00F36222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3BB72C3" w14:textId="77239B09" w:rsidR="007443E8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V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– 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Concavidade e quase-concavidade</w:t>
            </w:r>
          </w:p>
          <w:p w14:paraId="2BFF92F8" w14:textId="77777777" w:rsidR="004E2E64" w:rsidRDefault="004E2E6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70EA931" w14:textId="0D4A9B89" w:rsidR="007443E8" w:rsidRP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>Funções côncavas e funções convexas</w:t>
            </w:r>
          </w:p>
          <w:p w14:paraId="605B00EB" w14:textId="0FA16925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 e Wainwright (cap. 12)</w:t>
            </w:r>
          </w:p>
          <w:p w14:paraId="5CA4B79D" w14:textId="61761F29" w:rsidR="00AD4DA9" w:rsidRDefault="00AD4DA9" w:rsidP="00AD4DA9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0B9654C5" w14:textId="404E5792" w:rsidR="007443E8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Funções quase-côncavas e funções quase-convexas</w:t>
            </w:r>
          </w:p>
          <w:p w14:paraId="18825C1A" w14:textId="37960D5C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básica: Chiang e Wainwright (cap. 12)</w:t>
            </w:r>
          </w:p>
          <w:p w14:paraId="128B415D" w14:textId="2DD9F1AE" w:rsidR="007443E8" w:rsidRP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Leitura complementar: Nicholson e Snyder (cap. 2), Simon e Blume (cap. 21)</w:t>
            </w:r>
          </w:p>
          <w:p w14:paraId="541A21F9" w14:textId="5B802361" w:rsidR="00940B16" w:rsidRDefault="007443E8" w:rsidP="007443E8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Programação côncava</w:t>
            </w:r>
          </w:p>
          <w:p w14:paraId="6D53DCFD" w14:textId="39355A61" w:rsidR="00940B16" w:rsidRP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Chiang e Wainwright (cap. 13)</w:t>
            </w:r>
          </w:p>
          <w:p w14:paraId="30E28F51" w14:textId="77777777" w:rsidR="007443E8" w:rsidRDefault="00940B16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7443E8">
              <w:rPr>
                <w:rFonts w:eastAsia="Arial Unicode MS"/>
                <w:color w:val="000000"/>
                <w:sz w:val="22"/>
                <w:szCs w:val="22"/>
              </w:rPr>
              <w:t>Nicholson e Snyder (cap. 2), Simon e Blume (cap. 21)</w:t>
            </w:r>
          </w:p>
          <w:p w14:paraId="7E4DFC75" w14:textId="77777777" w:rsidR="007443E8" w:rsidRDefault="007443E8" w:rsidP="007443E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D41E01B" w14:textId="06B600C0" w:rsidR="00940B16" w:rsidRDefault="007443E8" w:rsidP="007443E8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Programação linear</w:t>
            </w:r>
          </w:p>
          <w:p w14:paraId="0F477243" w14:textId="77777777" w:rsidR="004E2E64" w:rsidRDefault="004E2E64" w:rsidP="007443E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FAC21E5" w14:textId="46FFB142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Abordagem gráfica</w:t>
            </w:r>
          </w:p>
          <w:p w14:paraId="5A400532" w14:textId="63D1B7FA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teoria da dualidade</w:t>
            </w:r>
          </w:p>
          <w:p w14:paraId="7F8BE0A3" w14:textId="0AE32B90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Teorema da dualidade</w:t>
            </w:r>
          </w:p>
          <w:p w14:paraId="480AEC1C" w14:textId="014C3D38" w:rsidR="007443E8" w:rsidRDefault="007443E8" w:rsidP="007443E8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Uma interpretação econômica geral</w:t>
            </w:r>
          </w:p>
          <w:p w14:paraId="12BDEB2F" w14:textId="72A7FA9A" w:rsidR="00067DF8" w:rsidRPr="00AD4DA9" w:rsidRDefault="00D25646" w:rsidP="00F36222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Folgas complementares</w:t>
            </w:r>
          </w:p>
        </w:tc>
      </w:tr>
    </w:tbl>
    <w:p w14:paraId="41B49553" w14:textId="77777777" w:rsidR="005537FA" w:rsidRPr="005537FA" w:rsidRDefault="005537FA" w:rsidP="005537FA">
      <w:pPr>
        <w:spacing w:after="160" w:line="259" w:lineRule="auto"/>
        <w:rPr>
          <w:rFonts w:eastAsia="Arial Unicode MS"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749F69B2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5F9CB88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E2D05C7" w:rsidR="00C1555D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8819C1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A70B8F"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7043600F" w14:textId="7458EB12" w:rsidR="00A70B8F" w:rsidRPr="00E3355C" w:rsidRDefault="00A70B8F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(P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I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II):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0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173CA77F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485D2C">
              <w:rPr>
                <w:rFonts w:eastAsia="Arial Unicode MS"/>
                <w:color w:val="000000"/>
                <w:sz w:val="22"/>
                <w:szCs w:val="22"/>
              </w:rPr>
              <w:t>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DB0116" w14:textId="635314F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018/2004-CONSEPE regulamenta o processo de realização de provas de segunda chamada.</w:t>
      </w:r>
    </w:p>
    <w:p w14:paraId="05583787" w14:textId="2456E9D2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3554E479" w14:textId="3C094C27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aluno que deixar de comparecer a qualquer das avaliações nas datas fixadas pelos professores, poderá solicitar segunda chamada de provas na Secretaria Acadêmica através de requerimento por ele assinado, pagamento de taxa e respectivos comprovantes, </w:t>
      </w:r>
      <w:r w:rsidRPr="00E3355C">
        <w:rPr>
          <w:rFonts w:eastAsia="Arial Unicode MS"/>
          <w:b/>
          <w:bCs/>
          <w:color w:val="000000"/>
          <w:sz w:val="22"/>
          <w:szCs w:val="22"/>
        </w:rPr>
        <w:t>no prazo de 5 (cinco) dias úteis</w:t>
      </w:r>
      <w:r w:rsidRPr="00E3355C">
        <w:rPr>
          <w:rFonts w:eastAsia="Arial Unicode MS"/>
          <w:color w:val="000000"/>
          <w:sz w:val="22"/>
          <w:szCs w:val="22"/>
        </w:rPr>
        <w:t>, contados a partir da data de realização de cada prova, sendo aceitos pedidos, devidamente comprovados, motivados por:</w:t>
      </w:r>
    </w:p>
    <w:p w14:paraId="4BBB471D" w14:textId="26C5EEAB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 – problema de saúde, devidamente comprovado, que justifique a ausência;</w:t>
      </w:r>
    </w:p>
    <w:p w14:paraId="1261DAC2" w14:textId="51F076CF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II – doença de caráter infecto-contagiosa, impeditiva do comparecimento, comprovada por atestado médico reconhecido na forma da lei constando o Código Internacional de Doenças (CID);</w:t>
      </w:r>
    </w:p>
    <w:p w14:paraId="110AD385" w14:textId="6755B89A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lastRenderedPageBreak/>
        <w:t>III – ter sido vítima de ação involuntária provocada por terceiros;</w:t>
      </w:r>
    </w:p>
    <w:p w14:paraId="5E97DE36" w14:textId="662B295D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IV – manobras ou exercícios militares comprovados por documento da respectiva unidade militar;</w:t>
      </w:r>
    </w:p>
    <w:p w14:paraId="20DEC21C" w14:textId="5D804603" w:rsidR="00C1555D" w:rsidRPr="00E3355C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 – luto, comprovado pelo respectivo atestado de óbito, por parentes em linha reta (pais, avós, filhos e netos), colaterais até o segundo grau (irmãos e tios), cônjuge ou companheiro(a);</w:t>
      </w:r>
    </w:p>
    <w:p w14:paraId="1D0ACA97" w14:textId="5CD316D3" w:rsidR="00C1555D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 – convocação, coincidente em horário, para depoimento judicial ou policial, ou para eleições em entidades oficiais, devidamente comprovada por declaração da autoridade competente;</w:t>
      </w:r>
    </w:p>
    <w:p w14:paraId="291F8C86" w14:textId="56386CDD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 – impedimentos gerados por atividades previstas e autorizadas pela coordenação do respectivo curso ou instância hierárquica superior;</w:t>
      </w:r>
    </w:p>
    <w:p w14:paraId="4DB53998" w14:textId="478A80E9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VIII – direitos outorgados por lei;</w:t>
      </w:r>
    </w:p>
    <w:p w14:paraId="2780343A" w14:textId="6F1E8294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IX – coincidência de horários de exames finais, fixados por edital próprio;</w:t>
      </w:r>
    </w:p>
    <w:p w14:paraId="008466EC" w14:textId="7510E51B" w:rsidR="00E3355C" w:rsidRPr="00E3355C" w:rsidRDefault="00E3355C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X – convocação para competições oficiais representando a UDESC, o Município, o Estado ou o País.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6EB4C737" w14:textId="46B51E83" w:rsidR="00A278F8" w:rsidRPr="00A278F8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758CD9CD" w14:textId="77777777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AB3250D" w14:textId="5E870878" w:rsidR="00067DF8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2F370A">
              <w:rPr>
                <w:rFonts w:eastAsia="Arial Unicode MS"/>
                <w:color w:val="000000"/>
                <w:sz w:val="22"/>
                <w:szCs w:val="22"/>
              </w:rPr>
              <w:t xml:space="preserve">CHIANG, A.C.; WAINWRIGHT, K.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Rio de Janeiro: Elsevier, 2006.</w:t>
            </w:r>
          </w:p>
          <w:p w14:paraId="7D5CDCF9" w14:textId="6E96468C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61D6013" w14:textId="1AED6559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sz w:val="22"/>
                <w:szCs w:val="22"/>
              </w:rPr>
              <w:t xml:space="preserve">CYSNE, R.P.; MOREIRA, H.A. </w:t>
            </w:r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Curso de matemática para economistas</w:t>
            </w:r>
            <w:r w:rsidRPr="00A278F8">
              <w:rPr>
                <w:rFonts w:eastAsia="Arial Unicode MS"/>
                <w:sz w:val="22"/>
                <w:szCs w:val="22"/>
              </w:rPr>
              <w:t>. 2. ed. São Paulo: Atlas, 2000. </w:t>
            </w:r>
          </w:p>
          <w:p w14:paraId="5D94B098" w14:textId="2C47A178" w:rsidR="00A278F8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B8B1AB5" w14:textId="40D1806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SIMON, C.P.; BLUME, L.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Matemática para economistas</w:t>
            </w:r>
            <w:r w:rsidRPr="00A278F8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Porto Alegre: Bookman, 2004.</w:t>
            </w:r>
          </w:p>
          <w:p w14:paraId="63CEBE6B" w14:textId="0D6BF8F9" w:rsidR="00A278F8" w:rsidRPr="004E2E64" w:rsidRDefault="00A278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23B23BB" w14:textId="56D90D22" w:rsidR="00A278F8" w:rsidRPr="004E2E64" w:rsidRDefault="00A278F8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4E2E64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288B4CD9" w14:textId="446AF290" w:rsidR="00485D2C" w:rsidRPr="004E2E64" w:rsidRDefault="00485D2C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E0A6FC4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BRAGA, M.B.; KANNEBLEY JÚNIOR, S.; ORELLANO, V.I.F.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Matemática para economistas.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São Paulo: Atlas, 2003.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 w:rsidRPr="00A278F8">
              <w:rPr>
                <w:rStyle w:val="eop"/>
                <w:sz w:val="22"/>
                <w:szCs w:val="22"/>
              </w:rPr>
              <w:t> </w:t>
            </w:r>
          </w:p>
          <w:p w14:paraId="0603DDFB" w14:textId="77777777" w:rsidR="00A278F8" w:rsidRP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22"/>
                <w:szCs w:val="22"/>
                <w:lang w:val="pt-PT"/>
              </w:rPr>
            </w:pPr>
          </w:p>
          <w:p w14:paraId="016E81DB" w14:textId="457A75BE" w:rsidR="00A278F8" w:rsidRDefault="00A278F8" w:rsidP="00A278F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GUIDORIZZI, H.L. </w:t>
            </w:r>
            <w:r w:rsidRPr="00A278F8">
              <w:rPr>
                <w:rStyle w:val="normaltextrun"/>
                <w:b/>
                <w:bCs/>
                <w:sz w:val="22"/>
                <w:szCs w:val="22"/>
                <w:lang w:val="pt-PT"/>
              </w:rPr>
              <w:t>Um curso de cálculo.</w:t>
            </w:r>
            <w:r w:rsidRPr="00A278F8">
              <w:rPr>
                <w:rStyle w:val="normaltextrun"/>
                <w:sz w:val="22"/>
                <w:szCs w:val="22"/>
                <w:lang w:val="pt-PT"/>
              </w:rPr>
              <w:t xml:space="preserve"> 6. ed. Rio de Janeiro: LTC, 2018.</w:t>
            </w:r>
            <w:r w:rsidRPr="00A278F8">
              <w:rPr>
                <w:rStyle w:val="normaltextrun"/>
                <w:sz w:val="22"/>
                <w:szCs w:val="22"/>
              </w:rPr>
              <w:t> </w:t>
            </w:r>
            <w:r>
              <w:rPr>
                <w:rStyle w:val="eop"/>
              </w:rPr>
              <w:t> </w:t>
            </w:r>
          </w:p>
          <w:p w14:paraId="3BBAD4E0" w14:textId="77777777" w:rsidR="00A278F8" w:rsidRPr="004E2E64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1FD3CAC" w14:textId="3FB96EB6" w:rsidR="002F370A" w:rsidRDefault="002F370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NICHOLSON, W.; SNYDER C. </w:t>
            </w:r>
            <w:r w:rsidRPr="00A278F8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Teoria microeconômica</w:t>
            </w:r>
            <w:r w:rsidRPr="00A278F8">
              <w:rPr>
                <w:rFonts w:eastAsia="Arial Unicode MS"/>
                <w:color w:val="000000"/>
                <w:sz w:val="22"/>
                <w:szCs w:val="22"/>
              </w:rPr>
              <w:t>: Princípios básicos e aplicações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Cengage Learning Brasil, 2019. Disponível em: </w:t>
            </w:r>
            <w:hyperlink r:id="rId7" w:anchor="/books/9788522127030/" w:history="1">
              <w:r w:rsidRPr="0003240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https://app.minhabiblioteca.com.br/#/books/9788522127030/</w:t>
              </w:r>
            </w:hyperlink>
          </w:p>
          <w:p w14:paraId="1B49B3E5" w14:textId="758723F1" w:rsidR="00B4333A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1F8FD5A" w14:textId="72B2425B" w:rsidR="00B4333A" w:rsidRPr="00B4333A" w:rsidRDefault="00B4333A" w:rsidP="00E3355C">
            <w:pPr>
              <w:rPr>
                <w:rFonts w:eastAsia="Arial Unicode MS"/>
                <w:color w:val="0000FF"/>
                <w:sz w:val="22"/>
                <w:szCs w:val="22"/>
                <w:u w:val="single"/>
              </w:rPr>
            </w:pP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STEWART, J. </w:t>
            </w:r>
            <w:r w:rsidRPr="004E2E64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Cálculo</w:t>
            </w:r>
            <w:r w:rsidR="00A278F8" w:rsidRPr="004E2E64"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 xml:space="preserve">: </w:t>
            </w: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>Volume 1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 xml:space="preserve">. </w:t>
            </w:r>
            <w:r w:rsidRPr="004E2E64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8.ed. Cengage Learning Brasil, 2017. </w:t>
            </w:r>
            <w:r w:rsidRPr="004B6B49">
              <w:rPr>
                <w:rFonts w:eastAsia="Arial Unicode MS"/>
                <w:color w:val="000000"/>
                <w:sz w:val="22"/>
                <w:szCs w:val="22"/>
              </w:rPr>
              <w:t xml:space="preserve">Disponível em: </w:t>
            </w:r>
            <w:hyperlink r:id="rId8" w:anchor="/books/9788522126859/" w:history="1">
              <w:r w:rsidRPr="00E53EA8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https://app.minhabiblioteca.com.br/#/books/9788522126859/</w:t>
              </w:r>
            </w:hyperlink>
          </w:p>
          <w:p w14:paraId="4A9B77E8" w14:textId="77777777" w:rsidR="00B4333A" w:rsidRPr="004B6B49" w:rsidRDefault="00B4333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C44E5A1" w14:textId="356BBAD7" w:rsidR="00A278F8" w:rsidRDefault="00A278F8" w:rsidP="00A278F8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STEWART, J. </w:t>
            </w:r>
            <w:r w:rsidRPr="004E2E64">
              <w:rPr>
                <w:rFonts w:eastAsia="Arial Unicode MS"/>
                <w:b/>
                <w:bCs/>
                <w:sz w:val="22"/>
                <w:szCs w:val="22"/>
              </w:rPr>
              <w:t>Cálculo</w:t>
            </w:r>
            <w:r w:rsidRPr="00A278F8">
              <w:rPr>
                <w:rFonts w:eastAsia="Arial Unicode MS"/>
                <w:b/>
                <w:bCs/>
                <w:sz w:val="22"/>
                <w:szCs w:val="22"/>
              </w:rPr>
              <w:t>: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4E2E64">
              <w:rPr>
                <w:rFonts w:eastAsia="Arial Unicode MS"/>
                <w:color w:val="000000"/>
                <w:sz w:val="22"/>
                <w:szCs w:val="22"/>
              </w:rPr>
              <w:t>Volume 2</w:t>
            </w:r>
            <w:r w:rsidRPr="004E2E64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4E2E64">
              <w:rPr>
                <w:rFonts w:eastAsia="Arial Unicode MS"/>
                <w:color w:val="000000"/>
                <w:sz w:val="22"/>
                <w:szCs w:val="22"/>
              </w:rPr>
              <w:t xml:space="preserve"> 8.ed. Cengage Learning Brasil, 2017. Disponível em: </w:t>
            </w:r>
            <w:r w:rsidRPr="004E2E64">
              <w:rPr>
                <w:rStyle w:val="Hyperlink"/>
                <w:rFonts w:eastAsia="Arial Unicode MS"/>
                <w:sz w:val="22"/>
                <w:szCs w:val="22"/>
              </w:rPr>
              <w:t>https://app.minhabiblioteca.com.br/#/books/9788522126866/</w:t>
            </w:r>
          </w:p>
          <w:p w14:paraId="61937C39" w14:textId="77777777" w:rsidR="006D2E53" w:rsidRPr="00A278F8" w:rsidRDefault="006D2E53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177AB523" w:rsidR="005537FA" w:rsidRPr="005537FA" w:rsidRDefault="005537FA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durante o semestre.</w:t>
            </w:r>
          </w:p>
        </w:tc>
      </w:tr>
    </w:tbl>
    <w:p w14:paraId="6D98E92D" w14:textId="31481193" w:rsidR="004B6B49" w:rsidRPr="004524A6" w:rsidRDefault="004B6B49" w:rsidP="00CB37A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4B6B49" w:rsidRPr="0045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433A"/>
    <w:multiLevelType w:val="hybridMultilevel"/>
    <w:tmpl w:val="2040B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0AEA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B97359"/>
    <w:multiLevelType w:val="hybridMultilevel"/>
    <w:tmpl w:val="C7F802C6"/>
    <w:lvl w:ilvl="0" w:tplc="AC98EA3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33112"/>
    <w:multiLevelType w:val="hybridMultilevel"/>
    <w:tmpl w:val="F796F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20"/>
  </w:num>
  <w:num w:numId="12">
    <w:abstractNumId w:val="21"/>
  </w:num>
  <w:num w:numId="13">
    <w:abstractNumId w:val="10"/>
  </w:num>
  <w:num w:numId="14">
    <w:abstractNumId w:val="8"/>
  </w:num>
  <w:num w:numId="15">
    <w:abstractNumId w:val="19"/>
  </w:num>
  <w:num w:numId="16">
    <w:abstractNumId w:val="0"/>
  </w:num>
  <w:num w:numId="17">
    <w:abstractNumId w:val="12"/>
  </w:num>
  <w:num w:numId="18">
    <w:abstractNumId w:val="2"/>
  </w:num>
  <w:num w:numId="19">
    <w:abstractNumId w:val="4"/>
  </w:num>
  <w:num w:numId="20">
    <w:abstractNumId w:val="3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400E8"/>
    <w:rsid w:val="00042F98"/>
    <w:rsid w:val="0006057D"/>
    <w:rsid w:val="00067DF8"/>
    <w:rsid w:val="000A2C8D"/>
    <w:rsid w:val="000D02BA"/>
    <w:rsid w:val="000D0A24"/>
    <w:rsid w:val="000E181E"/>
    <w:rsid w:val="00132080"/>
    <w:rsid w:val="00151B58"/>
    <w:rsid w:val="00165321"/>
    <w:rsid w:val="001712EF"/>
    <w:rsid w:val="00171870"/>
    <w:rsid w:val="001732C0"/>
    <w:rsid w:val="00184D28"/>
    <w:rsid w:val="001C09FC"/>
    <w:rsid w:val="001D2920"/>
    <w:rsid w:val="001D4439"/>
    <w:rsid w:val="001F25DD"/>
    <w:rsid w:val="002148C0"/>
    <w:rsid w:val="00233B1D"/>
    <w:rsid w:val="00252DCD"/>
    <w:rsid w:val="002F370A"/>
    <w:rsid w:val="00372DB7"/>
    <w:rsid w:val="00385D95"/>
    <w:rsid w:val="00390735"/>
    <w:rsid w:val="00391D8D"/>
    <w:rsid w:val="00397029"/>
    <w:rsid w:val="003A4FAD"/>
    <w:rsid w:val="003B3545"/>
    <w:rsid w:val="003D7BFA"/>
    <w:rsid w:val="004524A6"/>
    <w:rsid w:val="004613F3"/>
    <w:rsid w:val="00485D2C"/>
    <w:rsid w:val="004B6B49"/>
    <w:rsid w:val="004C34C4"/>
    <w:rsid w:val="004C3648"/>
    <w:rsid w:val="004E2E64"/>
    <w:rsid w:val="00525501"/>
    <w:rsid w:val="005537FA"/>
    <w:rsid w:val="0057342F"/>
    <w:rsid w:val="005976ED"/>
    <w:rsid w:val="00602A42"/>
    <w:rsid w:val="00640CF6"/>
    <w:rsid w:val="00684241"/>
    <w:rsid w:val="006D2E53"/>
    <w:rsid w:val="00703645"/>
    <w:rsid w:val="00707CF1"/>
    <w:rsid w:val="007443E8"/>
    <w:rsid w:val="00746B97"/>
    <w:rsid w:val="00786745"/>
    <w:rsid w:val="008113AC"/>
    <w:rsid w:val="0082576B"/>
    <w:rsid w:val="00825CCD"/>
    <w:rsid w:val="008819C1"/>
    <w:rsid w:val="00887890"/>
    <w:rsid w:val="00890812"/>
    <w:rsid w:val="008A5854"/>
    <w:rsid w:val="008B7565"/>
    <w:rsid w:val="008C3BD6"/>
    <w:rsid w:val="00903DBD"/>
    <w:rsid w:val="00906C07"/>
    <w:rsid w:val="00923555"/>
    <w:rsid w:val="00940B16"/>
    <w:rsid w:val="00A12BA3"/>
    <w:rsid w:val="00A15372"/>
    <w:rsid w:val="00A278F8"/>
    <w:rsid w:val="00A3569C"/>
    <w:rsid w:val="00A4651A"/>
    <w:rsid w:val="00A70B8F"/>
    <w:rsid w:val="00A9776F"/>
    <w:rsid w:val="00AB69B4"/>
    <w:rsid w:val="00AB7E00"/>
    <w:rsid w:val="00AD4DA9"/>
    <w:rsid w:val="00AD4F72"/>
    <w:rsid w:val="00B17059"/>
    <w:rsid w:val="00B4333A"/>
    <w:rsid w:val="00B50696"/>
    <w:rsid w:val="00B55BC5"/>
    <w:rsid w:val="00B60BF9"/>
    <w:rsid w:val="00BB13B2"/>
    <w:rsid w:val="00BD3235"/>
    <w:rsid w:val="00C13617"/>
    <w:rsid w:val="00C141B0"/>
    <w:rsid w:val="00C1555D"/>
    <w:rsid w:val="00C22310"/>
    <w:rsid w:val="00C338AD"/>
    <w:rsid w:val="00C55A37"/>
    <w:rsid w:val="00C6707A"/>
    <w:rsid w:val="00CB37A8"/>
    <w:rsid w:val="00CC1340"/>
    <w:rsid w:val="00CC6121"/>
    <w:rsid w:val="00CD2EA4"/>
    <w:rsid w:val="00D075E5"/>
    <w:rsid w:val="00D2353A"/>
    <w:rsid w:val="00D25646"/>
    <w:rsid w:val="00D25684"/>
    <w:rsid w:val="00D41E55"/>
    <w:rsid w:val="00D62C13"/>
    <w:rsid w:val="00D75D5A"/>
    <w:rsid w:val="00DB0EB9"/>
    <w:rsid w:val="00DC2C35"/>
    <w:rsid w:val="00DC2C5F"/>
    <w:rsid w:val="00E3355C"/>
    <w:rsid w:val="00E6088F"/>
    <w:rsid w:val="00E814B7"/>
    <w:rsid w:val="00E86DF4"/>
    <w:rsid w:val="00EA3F97"/>
    <w:rsid w:val="00EC75A7"/>
    <w:rsid w:val="00ED0C7D"/>
    <w:rsid w:val="00F36222"/>
    <w:rsid w:val="00F764FA"/>
    <w:rsid w:val="00F9209C"/>
    <w:rsid w:val="00FA4B31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A278F8"/>
  </w:style>
  <w:style w:type="paragraph" w:customStyle="1" w:styleId="paragraph">
    <w:name w:val="paragraph"/>
    <w:basedOn w:val="Normal"/>
    <w:rsid w:val="00A278F8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eop">
    <w:name w:val="eop"/>
    <w:basedOn w:val="Fontepargpadro"/>
    <w:rsid w:val="00A2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1524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70</cp:revision>
  <cp:lastPrinted>2023-02-25T05:20:00Z</cp:lastPrinted>
  <dcterms:created xsi:type="dcterms:W3CDTF">2021-09-10T01:59:00Z</dcterms:created>
  <dcterms:modified xsi:type="dcterms:W3CDTF">2025-02-27T22:52:00Z</dcterms:modified>
</cp:coreProperties>
</file>