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UNIVERSIDADE DO ESTADO DE </w:t>
      </w:r>
      <w:r w:rsidRPr="00E206A9">
        <w:rPr>
          <w:rStyle w:val="txtarial10ptblack"/>
          <w:b/>
          <w:sz w:val="22"/>
          <w:szCs w:val="22"/>
          <w:u w:val="single"/>
        </w:rPr>
        <w:t>SANTA</w:t>
      </w:r>
      <w:r w:rsidRPr="00E3355C">
        <w:rPr>
          <w:rStyle w:val="txtarial10ptblack"/>
          <w:b/>
          <w:sz w:val="22"/>
          <w:szCs w:val="22"/>
        </w:rPr>
        <w:t xml:space="preserve">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6EAFA4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1732C0">
        <w:rPr>
          <w:rStyle w:val="txtarial10ptblack"/>
          <w:b/>
          <w:sz w:val="22"/>
          <w:szCs w:val="22"/>
        </w:rPr>
        <w:t>3</w:t>
      </w:r>
      <w:r w:rsidRPr="00E3355C">
        <w:rPr>
          <w:rStyle w:val="txtarial10ptblack"/>
          <w:b/>
          <w:sz w:val="22"/>
          <w:szCs w:val="22"/>
        </w:rPr>
        <w:t>3M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C1 - M</w:t>
      </w:r>
      <w:r w:rsidR="001732C0">
        <w:rPr>
          <w:rStyle w:val="txtarial10ptblack"/>
          <w:b/>
          <w:sz w:val="22"/>
          <w:szCs w:val="22"/>
        </w:rPr>
        <w:t>a</w:t>
      </w:r>
      <w:r w:rsidRPr="00E3355C">
        <w:rPr>
          <w:rStyle w:val="txtarial10ptblack"/>
          <w:b/>
          <w:sz w:val="22"/>
          <w:szCs w:val="22"/>
        </w:rPr>
        <w:t>croeconomia I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0D198F79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croeconomia I</w:t>
            </w:r>
          </w:p>
        </w:tc>
        <w:tc>
          <w:tcPr>
            <w:tcW w:w="1978" w:type="dxa"/>
          </w:tcPr>
          <w:p w14:paraId="29A1DDBB" w14:textId="5E6CC11B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M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C1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60D50EB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7B6F80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241D35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623414C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5DC40B36" w:rsidR="00514D67" w:rsidRPr="00514D67" w:rsidRDefault="00514D67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13FMA – Fundamentos de Macroeconomia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79D8F24B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Ementa: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Agregados econômicos. Determinação do produto no modelo clássico: mercado de trabalho e curva de oferta agregada. Poupança, investimento e taxa de juros de equilíbrio. Teoria quantitativa da moeda e demanda agregada. Produto de equilíbrio no modelo keynesiano. Mercado de trabalho. Modelo de demanda e oferta agregadas. Curva de Phillips aumentada.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7C193E8D" w14:textId="2484284C" w:rsidR="001732C0" w:rsidRDefault="001732C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>apresenta</w:t>
            </w:r>
            <w:r w:rsidR="00A863D1">
              <w:rPr>
                <w:rFonts w:eastAsia="Arial Unicode MS"/>
                <w:color w:val="000000"/>
                <w:sz w:val="22"/>
                <w:szCs w:val="22"/>
              </w:rPr>
              <w:t>r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os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princípios básicos da teoria macroeconômica e seus diversos domínios de aplicação.</w:t>
            </w:r>
          </w:p>
          <w:p w14:paraId="559AFB30" w14:textId="75299E7C" w:rsidR="004C34C4" w:rsidRPr="00E3355C" w:rsidRDefault="001732C0" w:rsidP="001732C0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curso se propõe a familiarizar o estudante com os principais modelos macroeconômicos para determinação do produto de equilíbrio a partir da metodologia de equilíbrio geral, onde são tratadas as interações entre vários mercados, bem como os efeitos da ação do governo, em nível agregado. Isso permitirá o conhecimento dos instrumentos de análise e prescrição de políticas macroeconômicas.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5B2AA27E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 – Introdução</w:t>
            </w:r>
            <w:r w:rsidR="001732C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modelo clássico</w:t>
            </w:r>
          </w:p>
          <w:p w14:paraId="1D403576" w14:textId="015BFD2A" w:rsidR="004C34C4" w:rsidRPr="00E3355C" w:rsidRDefault="004C34C4" w:rsidP="004C34C4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Introdução à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macroeconomia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788E0A46" w14:textId="0166C9AB" w:rsidR="004C34C4" w:rsidRPr="00E3355C" w:rsidRDefault="004C34C4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Blanchard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cap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. 1</w:t>
            </w:r>
            <w:r w:rsidR="001732C0">
              <w:rPr>
                <w:rFonts w:eastAsia="Arial Unicode MS"/>
                <w:color w:val="000000"/>
                <w:sz w:val="22"/>
                <w:szCs w:val="22"/>
              </w:rPr>
              <w:t xml:space="preserve"> e 2</w:t>
            </w:r>
            <w:r w:rsidR="00906C07" w:rsidRPr="00E3355C">
              <w:rPr>
                <w:rFonts w:eastAsia="Arial Unicode MS"/>
                <w:color w:val="000000"/>
                <w:sz w:val="22"/>
                <w:szCs w:val="22"/>
              </w:rPr>
              <w:t>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2CF3E831" w14:textId="204DE022" w:rsidR="00906C07" w:rsidRDefault="00906C07" w:rsidP="004C34C4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Lopes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e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Vasconcellos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(cap. 1), 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>Dornbusch, Fischer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Startz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1), Abel,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 w:rsidR="00233B1D"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 w:rsidR="00233B1D">
              <w:rPr>
                <w:rFonts w:eastAsia="Arial Unicode MS"/>
                <w:color w:val="000000"/>
                <w:sz w:val="22"/>
                <w:szCs w:val="22"/>
              </w:rPr>
              <w:t xml:space="preserve"> (cap. 1)</w:t>
            </w:r>
            <w:r w:rsidR="00AB7E00"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69C4899" w14:textId="6ABFE3C7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introdução, determinação do produto e do emprego</w:t>
            </w:r>
          </w:p>
          <w:p w14:paraId="5E924213" w14:textId="40DEEA95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</w:t>
            </w:r>
          </w:p>
          <w:p w14:paraId="42DA301E" w14:textId="6C8F4689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3), Abel,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Bernanke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Croushore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3).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59463939" w14:textId="6D94D960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2642054" w14:textId="01F3D1CC" w:rsidR="00233B1D" w:rsidRDefault="00233B1D" w:rsidP="00233B1D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 w:rsidR="00132080"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 w:rsidR="00132080"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3B77DFC7" w14:textId="7CF0CDE0" w:rsidR="00132080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básica: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Froyen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3D1711B2" w14:textId="79F7257C" w:rsidR="00132080" w:rsidRPr="00E3355C" w:rsidRDefault="00132080" w:rsidP="0013208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Leitura complementar: Lopes e Vasconcellos (cap. 3),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Alem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4),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Mankiw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(cap. 4)</w:t>
            </w:r>
          </w:p>
          <w:p w14:paraId="602BE92B" w14:textId="045AC03B" w:rsidR="00906C07" w:rsidRDefault="00906C07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59E31610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Demanda agregada e curva IS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6BBE4633" w:rsidR="008B7565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0C8D26A4" w14:textId="2CD678C0" w:rsidR="00132080" w:rsidRDefault="00B34EFC" w:rsidP="00132080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acerca da demanda agregada e ciclos de negócios</w:t>
            </w:r>
          </w:p>
          <w:p w14:paraId="29765360" w14:textId="109C269B" w:rsidR="00132080" w:rsidRP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à curva IS</w:t>
            </w:r>
          </w:p>
          <w:p w14:paraId="1D14A03A" w14:textId="691799B9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497148F0" w14:textId="4D01E9D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Equação de Fisher: Taxas de juros reais e nominais</w:t>
            </w:r>
          </w:p>
          <w:p w14:paraId="5D750F0F" w14:textId="5CF171DF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774861E7" w14:textId="3A74A272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Multiplicador</w:t>
            </w:r>
          </w:p>
          <w:p w14:paraId="2788C0A3" w14:textId="273556B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IS</w:t>
            </w:r>
          </w:p>
          <w:p w14:paraId="444D8DCA" w14:textId="323C3BDB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Comportamento </w:t>
            </w:r>
            <w:proofErr w:type="spellStart"/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forward-looking</w:t>
            </w:r>
            <w:proofErr w:type="spellEnd"/>
          </w:p>
          <w:p w14:paraId="4BD10066" w14:textId="12FDCA19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</w:t>
            </w:r>
          </w:p>
          <w:p w14:paraId="2D3EE26C" w14:textId="2C02E2EE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Investimento</w:t>
            </w:r>
          </w:p>
          <w:p w14:paraId="05C89B75" w14:textId="76A36C6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Consumo, investimento e curva IS</w:t>
            </w:r>
          </w:p>
          <w:p w14:paraId="7682ADDD" w14:textId="35AA6017" w:rsidR="00B34EFC" w:rsidRDefault="00B34EFC" w:rsidP="00B34EFC">
            <w:pPr>
              <w:pStyle w:val="PargrafodaLista"/>
              <w:numPr>
                <w:ilvl w:val="1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Política monetária e demanda agregada</w:t>
            </w:r>
          </w:p>
          <w:p w14:paraId="3D793579" w14:textId="660B65F5" w:rsidR="00132080" w:rsidRDefault="00B34EFC" w:rsidP="00B34EFC">
            <w:pPr>
              <w:ind w:left="720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*2.10. Equação de Euler e função consumo sob a hipótese de renda permanente</w:t>
            </w:r>
          </w:p>
          <w:p w14:paraId="6E6507A8" w14:textId="093C7475" w:rsidR="00132080" w:rsidRDefault="00B34EFC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  <w:p w14:paraId="10836B95" w14:textId="77777777" w:rsidR="00D2353A" w:rsidRPr="00E3355C" w:rsidRDefault="00D2353A" w:rsidP="008B7565">
            <w:pPr>
              <w:pStyle w:val="PargrafodaLista"/>
              <w:ind w:left="1080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0F814BB" w14:textId="2BDD334A" w:rsidR="00906C07" w:rsidRPr="00E3355C" w:rsidRDefault="00B17059" w:rsidP="00B17059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B34EF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Oferta agregada</w:t>
            </w:r>
          </w:p>
          <w:p w14:paraId="77BD5B02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2428D682" w:rsidR="00AD4DA9" w:rsidRDefault="00AD4DA9" w:rsidP="00B34EF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B34EFC"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4DB9F1DF" w14:textId="051CF196" w:rsidR="00B34EFC" w:rsidRDefault="00B34EFC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Desemprego</w:t>
            </w:r>
          </w:p>
          <w:p w14:paraId="426CC0F6" w14:textId="57A118D2" w:rsidR="00B34EFC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Desequilíbrios no mercado de trabalho</w:t>
            </w:r>
          </w:p>
          <w:p w14:paraId="5A4223E7" w14:textId="088295DC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agregada sobre desemprego</w:t>
            </w:r>
          </w:p>
          <w:p w14:paraId="14BBD012" w14:textId="5927F59B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políticas de demanda</w:t>
            </w:r>
          </w:p>
          <w:p w14:paraId="6D061B5D" w14:textId="0D90F75D" w:rsidR="00AF577B" w:rsidRDefault="00AF577B" w:rsidP="00B34EFC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Fatos sobre a oferta agregada</w:t>
            </w:r>
          </w:p>
          <w:p w14:paraId="541A21F9" w14:textId="16FC1BB3" w:rsidR="00940B16" w:rsidRDefault="00AF577B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60BF51D4" w14:textId="7D7DE5BF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oferta sobre o desemprego</w:t>
            </w:r>
          </w:p>
          <w:p w14:paraId="61E3B9E2" w14:textId="3709884C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no mercado de trabalho</w:t>
            </w:r>
          </w:p>
          <w:p w14:paraId="03BE99D7" w14:textId="0EA86EF3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Taxa natural de equilíbrio</w:t>
            </w:r>
          </w:p>
          <w:p w14:paraId="5EAA8A22" w14:textId="1E426630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nominal, inflação e ciclos econômicos</w:t>
            </w:r>
          </w:p>
          <w:p w14:paraId="17669A6D" w14:textId="352CB00C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Aplicações</w:t>
            </w:r>
          </w:p>
          <w:p w14:paraId="0E6A7B9A" w14:textId="392897CD" w:rsidR="00AF577B" w:rsidRDefault="00AF577B" w:rsidP="00AF577B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Formulações alternativas da curva de oferta agregada</w:t>
            </w:r>
          </w:p>
          <w:p w14:paraId="65545D46" w14:textId="6A5D8A37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com rigidez nominal de preços</w:t>
            </w:r>
          </w:p>
          <w:p w14:paraId="218C4D9A" w14:textId="4CBB10C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Mecanismos alternativos de determinação de preços</w:t>
            </w:r>
          </w:p>
          <w:p w14:paraId="3F7F41B0" w14:textId="3EFFEEFE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Indexação parcial à inflação passada</w:t>
            </w:r>
          </w:p>
          <w:p w14:paraId="7B805BD7" w14:textId="1533F1F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Curva de Phillips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aceleracionista</w:t>
            </w:r>
            <w:proofErr w:type="spellEnd"/>
          </w:p>
          <w:p w14:paraId="04D6962F" w14:textId="064C3F50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novo-clássica</w:t>
            </w:r>
          </w:p>
          <w:p w14:paraId="36258B39" w14:textId="1FA26239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novo-Keynesiana</w:t>
            </w:r>
          </w:p>
          <w:p w14:paraId="339EEA77" w14:textId="69A39725" w:rsidR="00AF577B" w:rsidRDefault="00AF577B" w:rsidP="00AF577B">
            <w:pPr>
              <w:pStyle w:val="PargrafodaLista"/>
              <w:numPr>
                <w:ilvl w:val="1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de salários nominais</w:t>
            </w:r>
          </w:p>
          <w:p w14:paraId="43EA6200" w14:textId="1680E27D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Famílias e oferta monopolística de trabalho</w:t>
            </w:r>
          </w:p>
          <w:p w14:paraId="697D90AD" w14:textId="171427CB" w:rsidR="00AF577B" w:rsidRDefault="00AF577B" w:rsidP="00AF577B">
            <w:pPr>
              <w:pStyle w:val="PargrafodaLista"/>
              <w:numPr>
                <w:ilvl w:val="2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de salários e barganhas salariais</w:t>
            </w:r>
          </w:p>
          <w:p w14:paraId="4B862EBB" w14:textId="75BB9F96" w:rsidR="00AF577B" w:rsidRDefault="00AF577B" w:rsidP="00AF577B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9E62DA9" w14:textId="23054A35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IV – Modelo de 3 equações e política macroeconômica</w:t>
            </w:r>
          </w:p>
          <w:p w14:paraId="1CFC8862" w14:textId="1F08CE44" w:rsidR="00AF577B" w:rsidRDefault="00AF577B" w:rsidP="00AF577B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FDDBA71" w14:textId="10C787F3" w:rsidR="00AF577B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1B7260E" w14:textId="6717B6E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papel do Banco Central na estabilização macroeconômica</w:t>
            </w:r>
          </w:p>
          <w:p w14:paraId="13CFCC34" w14:textId="2E2E07A1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Inflação e deflação</w:t>
            </w:r>
          </w:p>
          <w:p w14:paraId="36E777C4" w14:textId="6C7EFF37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ao modelo de 3 equações</w:t>
            </w:r>
          </w:p>
          <w:p w14:paraId="5F11C54F" w14:textId="628E7370" w:rsidR="0073089D" w:rsidRDefault="0073089D" w:rsidP="0073089D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Modelagem</w:t>
            </w:r>
          </w:p>
          <w:p w14:paraId="0DEF6FC0" w14:textId="3B4B0DC5" w:rsidR="0073089D" w:rsidRDefault="0073089D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de 3 equações</w:t>
            </w:r>
          </w:p>
          <w:p w14:paraId="495C0FCA" w14:textId="561967ED" w:rsidR="0073089D" w:rsidRDefault="003F4C7C" w:rsidP="0073089D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Usando o modelo de 3 equações</w:t>
            </w:r>
          </w:p>
          <w:p w14:paraId="27B4CBC9" w14:textId="6EFE256E" w:rsidR="003F4C7C" w:rsidRDefault="003F4C7C" w:rsidP="003F4C7C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oferta e demanda agregadas e a propagação de choques macroeconômicos</w:t>
            </w:r>
          </w:p>
          <w:p w14:paraId="26EECCDF" w14:textId="51F1D697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macroeconômico</w:t>
            </w:r>
          </w:p>
          <w:p w14:paraId="45C24A01" w14:textId="1AF03236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demanda agregada</w:t>
            </w:r>
          </w:p>
          <w:p w14:paraId="0BC2FBD7" w14:textId="75AC9A8F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lastRenderedPageBreak/>
              <w:t xml:space="preserve">Previsão e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lags</w:t>
            </w:r>
            <w:proofErr w:type="spellEnd"/>
          </w:p>
          <w:p w14:paraId="79B250B7" w14:textId="74336AE5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Armadilha de deflação</w:t>
            </w:r>
          </w:p>
          <w:p w14:paraId="7398B652" w14:textId="3B93D50C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Efeitos de um choque de oferta agregada</w:t>
            </w:r>
          </w:p>
          <w:p w14:paraId="31610D58" w14:textId="7B05F6A8" w:rsidR="003F4C7C" w:rsidRDefault="003F4C7C" w:rsidP="003F4C7C">
            <w:pPr>
              <w:pStyle w:val="PargrafodaLista"/>
              <w:numPr>
                <w:ilvl w:val="1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 e a natureza das flutuações dos ciclos econômicos</w:t>
            </w:r>
          </w:p>
          <w:p w14:paraId="12BDEB2F" w14:textId="5E0F7518" w:rsidR="00205257" w:rsidRPr="00827617" w:rsidRDefault="003F4C7C" w:rsidP="00205257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Conclusões</w:t>
            </w:r>
          </w:p>
        </w:tc>
      </w:tr>
    </w:tbl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lastRenderedPageBreak/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5762E36D" w14:textId="77777777" w:rsidR="00151B58" w:rsidRPr="00E3355C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01DF211B" w14:textId="6805C280" w:rsidR="00B60BF9" w:rsidRPr="00E3355C" w:rsidRDefault="00B60BF9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6679CF8E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 (PI): 30%</w:t>
            </w:r>
          </w:p>
          <w:p w14:paraId="166D5054" w14:textId="516468C3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2DEF0E63" w14:textId="54DDAAF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Atividade avaliativa III (PIII): 30%</w:t>
            </w:r>
          </w:p>
          <w:p w14:paraId="640527CF" w14:textId="5B1A7B77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010BC7">
              <w:rPr>
                <w:rFonts w:eastAsia="Arial Unicode MS"/>
                <w:color w:val="000000"/>
                <w:sz w:val="22"/>
                <w:szCs w:val="22"/>
              </w:rPr>
              <w:t>1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614541E" w14:textId="6C413B3F" w:rsidR="00B60BF9" w:rsidRPr="00E3355C" w:rsidRDefault="00B60BF9" w:rsidP="00B60BF9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1D8AE2B7" w14:textId="29E02A6D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05583787" w14:textId="5F0AAA24" w:rsidR="00C1555D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</w:t>
      </w:r>
      <w:r w:rsidR="000F5CCA">
        <w:rPr>
          <w:rFonts w:eastAsia="Arial Unicode MS"/>
          <w:color w:val="000000"/>
          <w:sz w:val="22"/>
          <w:szCs w:val="22"/>
        </w:rPr>
        <w:t>39</w:t>
      </w:r>
      <w:r w:rsidRPr="00E3355C">
        <w:rPr>
          <w:rFonts w:eastAsia="Arial Unicode MS"/>
          <w:color w:val="000000"/>
          <w:sz w:val="22"/>
          <w:szCs w:val="22"/>
        </w:rPr>
        <w:t>/20</w:t>
      </w:r>
      <w:r w:rsidR="000F5CCA">
        <w:rPr>
          <w:rFonts w:eastAsia="Arial Unicode MS"/>
          <w:color w:val="000000"/>
          <w:sz w:val="22"/>
          <w:szCs w:val="22"/>
        </w:rPr>
        <w:t>15</w:t>
      </w:r>
      <w:r w:rsidRPr="00E3355C">
        <w:rPr>
          <w:rFonts w:eastAsia="Arial Unicode MS"/>
          <w:color w:val="000000"/>
          <w:sz w:val="22"/>
          <w:szCs w:val="22"/>
        </w:rPr>
        <w:t xml:space="preserve">-CONSEPE regulamenta </w:t>
      </w:r>
      <w:r w:rsidR="000F5CCA">
        <w:rPr>
          <w:rFonts w:eastAsia="Arial Unicode MS"/>
          <w:color w:val="000000"/>
          <w:sz w:val="22"/>
          <w:szCs w:val="22"/>
        </w:rPr>
        <w:t>a avaliação em segunda chamada para os cursos de graduação da UDESC</w:t>
      </w:r>
      <w:r w:rsidRPr="00E3355C">
        <w:rPr>
          <w:rFonts w:eastAsia="Arial Unicode MS"/>
          <w:color w:val="000000"/>
          <w:sz w:val="22"/>
          <w:szCs w:val="22"/>
        </w:rPr>
        <w:t>.</w:t>
      </w:r>
    </w:p>
    <w:p w14:paraId="372E0BB5" w14:textId="77777777" w:rsidR="000F5CCA" w:rsidRPr="00E3355C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</w:p>
    <w:p w14:paraId="14DD9871" w14:textId="77777777" w:rsidR="000F5CCA" w:rsidRPr="000F5CCA" w:rsidRDefault="00C1555D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</w:t>
      </w:r>
      <w:r w:rsidR="000F5CCA">
        <w:rPr>
          <w:rFonts w:eastAsia="Arial Unicode MS"/>
          <w:color w:val="000000"/>
          <w:sz w:val="22"/>
          <w:szCs w:val="22"/>
        </w:rPr>
        <w:t>acadêmico regularmente matriculado</w:t>
      </w:r>
      <w:r w:rsidRPr="00E3355C">
        <w:rPr>
          <w:rFonts w:eastAsia="Arial Unicode MS"/>
          <w:color w:val="000000"/>
          <w:sz w:val="22"/>
          <w:szCs w:val="22"/>
        </w:rPr>
        <w:t xml:space="preserve"> que deixar de comparecer a qualquer das avaliações nas datas fixadas pelos professores, poderá solicitar segunda chamada de</w:t>
      </w:r>
      <w:r w:rsidR="000F5CCA">
        <w:rPr>
          <w:rFonts w:eastAsia="Arial Unicode MS"/>
          <w:color w:val="000000"/>
          <w:sz w:val="22"/>
          <w:szCs w:val="22"/>
        </w:rPr>
        <w:t xml:space="preserve">sta avaliação </w:t>
      </w:r>
      <w:r w:rsidR="000F5CCA" w:rsidRPr="000F5CCA">
        <w:rPr>
          <w:rFonts w:eastAsia="Arial Unicode MS"/>
          <w:color w:val="000000"/>
          <w:sz w:val="22"/>
          <w:szCs w:val="22"/>
        </w:rPr>
        <w:t xml:space="preserve">através de requerimento por ele assinado, ou por seu representante legal, entregue na Secretaria de Ensino de Graduação e/ou Secretaria do Departamento, no </w:t>
      </w:r>
      <w:r w:rsidR="000F5CCA" w:rsidRPr="000F5CCA">
        <w:rPr>
          <w:rFonts w:eastAsia="Arial Unicode MS"/>
          <w:b/>
          <w:bCs/>
          <w:color w:val="000000"/>
          <w:sz w:val="22"/>
          <w:szCs w:val="22"/>
        </w:rPr>
        <w:t>prazo de 5 (cinco) dias úteis</w:t>
      </w:r>
      <w:r w:rsidR="000F5CCA" w:rsidRPr="000F5CCA">
        <w:rPr>
          <w:rFonts w:eastAsia="Arial Unicode MS"/>
          <w:color w:val="000000"/>
          <w:sz w:val="22"/>
          <w:szCs w:val="22"/>
        </w:rPr>
        <w:t xml:space="preserve">, contados a partir da data de realização da avaliação, sendo aceitos pedidos, devidamente comprovados e que se enquadrem em um das seguintes situações: </w:t>
      </w:r>
    </w:p>
    <w:p w14:paraId="3A33061F" w14:textId="77777777" w:rsidR="00C214E4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de saúde do aluno ou parente de 1º grau, devidamente comprovado, que justifique a ausência; </w:t>
      </w:r>
    </w:p>
    <w:p w14:paraId="3D47E8AC" w14:textId="0014D4C4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ter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sido vítima de ação involuntária provocada por terceiros, comprovada por Boletim de Ocorrência ou documento equivalente; </w:t>
      </w:r>
    </w:p>
    <w:p w14:paraId="011CD8A1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III - manobras ou exercícios militares comprovados por documento da respectiva unidade militar; </w:t>
      </w:r>
    </w:p>
    <w:p w14:paraId="404A4831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comprovado pelo respectivo atestado de óbito, por parentes em linha reta (pais, avós, filhos e netos), colaterais até o segundo grau (irmãos e tios), cônjuge ou companheiro (a), com prazo de até 5 (cinco) dias úteis após o óbito; </w:t>
      </w:r>
    </w:p>
    <w:p w14:paraId="78A38C9C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coincidente em horário, para depoimento judicial ou policial, ou para eleições em entidades oficiais, devidamente comprovada por declaração da autoridade competente; </w:t>
      </w:r>
    </w:p>
    <w:p w14:paraId="49CE9F16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impedimentos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gerados por atividades previstas e autorizadas pela Chefia de Departamento do respectivo curso ou instância hierárquica superior, comprovada através de declaração ou documento equivalente; </w:t>
      </w:r>
    </w:p>
    <w:p w14:paraId="7448AF02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 - direitos outorgados por lei; </w:t>
      </w:r>
    </w:p>
    <w:p w14:paraId="6B501025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VIII - coincidência de horário de outras avaliações do próprio curso, comprovada por declaração da chefia de departamento; </w:t>
      </w:r>
    </w:p>
    <w:p w14:paraId="7D78CE8C" w14:textId="77777777" w:rsidR="000F5CCA" w:rsidRPr="000F5CCA" w:rsidRDefault="000F5CCA" w:rsidP="00E3355C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lastRenderedPageBreak/>
        <w:t xml:space="preserve">IX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País; </w:t>
      </w:r>
    </w:p>
    <w:p w14:paraId="24322350" w14:textId="6CC264E7" w:rsidR="00E3355C" w:rsidRPr="00E3355C" w:rsidRDefault="000F5CCA" w:rsidP="000F5CCA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pelo chefe imediato, no caso de acadêmico que trabalhe, em documento devidamente assinado e carimbado, contendo CNPJ da empresa ou equivalente, acompanhado de documento anexo que comprove o vínculo empregatício, como cópia da carteira de trabalho ou do contrato ou de documento</w:t>
      </w:r>
      <w:r>
        <w:t xml:space="preserve"> </w:t>
      </w:r>
      <w:r w:rsidRPr="000F5CCA">
        <w:rPr>
          <w:rFonts w:eastAsia="Arial Unicode MS"/>
          <w:color w:val="000000"/>
          <w:sz w:val="22"/>
          <w:szCs w:val="22"/>
        </w:rPr>
        <w:t>equivalente</w:t>
      </w:r>
      <w:r>
        <w:t xml:space="preserve">. </w:t>
      </w:r>
      <w:r w:rsidR="00C1555D" w:rsidRPr="00E3355C">
        <w:rPr>
          <w:rFonts w:eastAsia="Arial Unicode MS"/>
          <w:color w:val="000000"/>
          <w:sz w:val="22"/>
          <w:szCs w:val="22"/>
        </w:rPr>
        <w:t xml:space="preserve"> </w:t>
      </w:r>
    </w:p>
    <w:p w14:paraId="2C36CABC" w14:textId="78A5E12F" w:rsidR="00E3355C" w:rsidRDefault="00E3355C" w:rsidP="00E3355C">
      <w:pPr>
        <w:jc w:val="center"/>
        <w:rPr>
          <w:rStyle w:val="Hyperlink"/>
          <w:rFonts w:eastAsia="Arial Unicode MS"/>
          <w:i/>
          <w:iCs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0EBCBE3D" w14:textId="77777777" w:rsidR="000F5CCA" w:rsidRPr="00E3355C" w:rsidRDefault="000F5CCA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3355C" w:rsidRPr="001D2920" w14:paraId="2A426890" w14:textId="77777777" w:rsidTr="00E3355C">
        <w:tc>
          <w:tcPr>
            <w:tcW w:w="8494" w:type="dxa"/>
          </w:tcPr>
          <w:p w14:paraId="5E7DDFC5" w14:textId="4261BDD3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  <w:t>BIBLIOGRAFIA BÁSICA</w:t>
            </w:r>
          </w:p>
          <w:p w14:paraId="3ABC0D56" w14:textId="4DFA86F4" w:rsidR="008553C6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791B57B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9010057" w14:textId="77777777" w:rsidR="008553C6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F180F9A" w14:textId="25F95D74" w:rsidR="008553C6" w:rsidRDefault="008553C6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 w:rsidRPr="007B6F8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DORNBUSCH, R.; FISCHER, S.; STARTZ, R. </w:t>
            </w:r>
            <w:proofErr w:type="spellStart"/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Macroeconomia</w:t>
            </w:r>
            <w:proofErr w:type="spellEnd"/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  <w:lang w:val="en-US"/>
              </w:rPr>
              <w:t>.</w:t>
            </w:r>
            <w:r w:rsidRPr="007B6F80">
              <w:rPr>
                <w:rFonts w:eastAsia="Arial Unicode MS"/>
                <w:color w:val="000000"/>
                <w:sz w:val="22"/>
                <w:szCs w:val="22"/>
                <w:lang w:val="en-US"/>
              </w:rPr>
              <w:t xml:space="preserve"> 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>11.ed. Porto Alegre: AMGH, 2013.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7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https://app.minhabiblioteca.com.br/books/9788580551853</w:t>
              </w:r>
            </w:hyperlink>
          </w:p>
          <w:p w14:paraId="6A82F637" w14:textId="3D2C9C55" w:rsidR="008553C6" w:rsidRDefault="008553C6" w:rsidP="008553C6">
            <w:pPr>
              <w:rPr>
                <w:rStyle w:val="Hyperlink"/>
                <w:rFonts w:eastAsia="Arial Unicode MS"/>
              </w:rPr>
            </w:pPr>
          </w:p>
          <w:p w14:paraId="1CF15560" w14:textId="71650AB8" w:rsidR="00BD0552" w:rsidRDefault="00BD0552" w:rsidP="008553C6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MANKIW, G.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8.ed. Rio de Janeiro: LTC, 2018. Disponível em: </w:t>
            </w:r>
            <w:hyperlink r:id="rId8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https://app.minhabiblioteca.com.br/reader/books/978-85-216-2749-4/</w:t>
              </w:r>
            </w:hyperlink>
          </w:p>
          <w:p w14:paraId="1A25AC95" w14:textId="77777777" w:rsidR="00BD0552" w:rsidRDefault="00BD0552" w:rsidP="008553C6">
            <w:pPr>
              <w:rPr>
                <w:rStyle w:val="Hyperlink"/>
                <w:rFonts w:eastAsia="Arial Unicode MS"/>
              </w:rPr>
            </w:pPr>
          </w:p>
          <w:p w14:paraId="3C7E1F1A" w14:textId="56F2F92A" w:rsidR="008553C6" w:rsidRPr="007B6F80" w:rsidRDefault="008553C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7B6F8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6228D87F" w14:textId="3EA242FA" w:rsidR="00067DF8" w:rsidRPr="007B6F80" w:rsidRDefault="00067DF8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750CAE4" w14:textId="77777777" w:rsidR="008553C6" w:rsidRPr="007B6F80" w:rsidRDefault="008553C6" w:rsidP="008553C6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7B6F80">
              <w:rPr>
                <w:rFonts w:eastAsia="Arial Unicode MS"/>
                <w:color w:val="000000"/>
                <w:sz w:val="22"/>
                <w:szCs w:val="22"/>
              </w:rPr>
              <w:t xml:space="preserve">ABEL, A.; BERNANKE, B.; CROUSHORE, D. </w:t>
            </w:r>
            <w:r w:rsidRPr="007B6F80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Macroeconomia.</w:t>
            </w:r>
            <w:r w:rsidRPr="007B6F80">
              <w:rPr>
                <w:rFonts w:eastAsia="Arial Unicode MS"/>
                <w:color w:val="000000"/>
                <w:sz w:val="22"/>
                <w:szCs w:val="22"/>
              </w:rPr>
              <w:t xml:space="preserve"> 6.ed. Pearson Prentice Hall, 2008.</w:t>
            </w:r>
          </w:p>
          <w:p w14:paraId="71F035E7" w14:textId="77777777" w:rsidR="008553C6" w:rsidRPr="007B6F80" w:rsidRDefault="008553C6" w:rsidP="00E3355C">
            <w:pPr>
              <w:rPr>
                <w:rFonts w:eastAsia="Arial Unicode MS"/>
              </w:rPr>
            </w:pPr>
          </w:p>
          <w:p w14:paraId="4C53A617" w14:textId="33825C0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ALEM, A. 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 e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 prática no Brasil.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Rio de Janeiro: Elsevier, 2018. Disponível em: </w:t>
            </w:r>
            <w:hyperlink r:id="rId9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https://app.minhabiblioteca.com.br/books/9788595152083</w:t>
              </w:r>
            </w:hyperlink>
          </w:p>
          <w:p w14:paraId="0218B7D5" w14:textId="77777777" w:rsidR="00BD0552" w:rsidRDefault="00BD0552" w:rsidP="00BD0552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ADADD76" w14:textId="6EA31991" w:rsidR="00BD0552" w:rsidRDefault="00BD0552" w:rsidP="00BD0552">
            <w:pPr>
              <w:rPr>
                <w:rStyle w:val="Hyperlink"/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FROYEN, R.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Macroeconomia: teorias e aplicações.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2.ed. São Paulo: Saraiva, 2013. Disponível em: </w:t>
            </w:r>
            <w:hyperlink r:id="rId10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https://app.minhabiblioteca.com.br/books/9788502175235</w:t>
              </w:r>
            </w:hyperlink>
          </w:p>
          <w:p w14:paraId="639589F8" w14:textId="77777777" w:rsidR="00BD0552" w:rsidRDefault="00BD0552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A8C5FB9" w14:textId="03BF1982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LOPES, L.M.; VASCONCELLOS, M.A.S. 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Manual de Macroeconomia: Nível básico e nível intermediário.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3.ed. São Paulo: Atlas, 2008.</w:t>
            </w:r>
          </w:p>
          <w:p w14:paraId="147BA2AA" w14:textId="6954EA5D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3868B84" w14:textId="3E9702F2" w:rsidR="00E814B7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241D35">
              <w:rPr>
                <w:rFonts w:eastAsia="Arial Unicode MS"/>
                <w:color w:val="000000"/>
                <w:sz w:val="22"/>
                <w:szCs w:val="22"/>
              </w:rPr>
              <w:t xml:space="preserve">SIMONSEN, M.H.; CYSNE, R.B. </w:t>
            </w:r>
            <w:r w:rsidRPr="00241D35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 xml:space="preserve">Macroeconomia. </w:t>
            </w:r>
            <w:r w:rsidRPr="001D2920">
              <w:rPr>
                <w:rFonts w:eastAsia="Arial Unicode MS"/>
                <w:color w:val="000000"/>
                <w:sz w:val="22"/>
                <w:szCs w:val="22"/>
              </w:rPr>
              <w:t>4.ed. São Paulo: Atlas, 2009. D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isponível em: </w:t>
            </w:r>
            <w:hyperlink r:id="rId11" w:history="1">
              <w:r w:rsidRPr="00176434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https://app.minhabiblioteca.com.br/reader/books/9788522465330</w:t>
              </w:r>
            </w:hyperlink>
          </w:p>
          <w:p w14:paraId="4A5A8F5A" w14:textId="77777777" w:rsidR="001D2920" w:rsidRDefault="001D2920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6538A95A" w14:textId="77777777" w:rsidR="00E3355C" w:rsidRPr="001D2920" w:rsidRDefault="00E3355C" w:rsidP="00E3355C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6D98E92D" w14:textId="5F1D8E2C" w:rsidR="00577D64" w:rsidRDefault="00577D64">
      <w:pPr>
        <w:spacing w:after="160" w:line="259" w:lineRule="auto"/>
        <w:rPr>
          <w:sz w:val="22"/>
          <w:szCs w:val="22"/>
        </w:rPr>
      </w:pPr>
    </w:p>
    <w:p w14:paraId="0BE415D7" w14:textId="48268324" w:rsidR="000704AE" w:rsidRDefault="000704AE">
      <w:pPr>
        <w:spacing w:after="160" w:line="259" w:lineRule="auto"/>
        <w:rPr>
          <w:sz w:val="22"/>
          <w:szCs w:val="22"/>
        </w:rPr>
      </w:pPr>
    </w:p>
    <w:p w14:paraId="0881D219" w14:textId="0EEDBCFF" w:rsidR="000704AE" w:rsidRDefault="000704AE">
      <w:pPr>
        <w:spacing w:after="160" w:line="259" w:lineRule="auto"/>
        <w:rPr>
          <w:sz w:val="22"/>
          <w:szCs w:val="22"/>
        </w:rPr>
      </w:pPr>
    </w:p>
    <w:sectPr w:rsidR="0007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multilevel"/>
    <w:tmpl w:val="DED8B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4945AA"/>
    <w:multiLevelType w:val="hybridMultilevel"/>
    <w:tmpl w:val="4EFA5042"/>
    <w:lvl w:ilvl="0" w:tplc="540234F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07DE7"/>
    <w:multiLevelType w:val="hybridMultilevel"/>
    <w:tmpl w:val="F55C81AA"/>
    <w:lvl w:ilvl="0" w:tplc="A9A23976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856"/>
    <w:multiLevelType w:val="hybridMultilevel"/>
    <w:tmpl w:val="C568BB02"/>
    <w:lvl w:ilvl="0" w:tplc="33467FF8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138330C"/>
    <w:multiLevelType w:val="multilevel"/>
    <w:tmpl w:val="6A5CE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903582"/>
    <w:multiLevelType w:val="hybridMultilevel"/>
    <w:tmpl w:val="D95671EE"/>
    <w:lvl w:ilvl="0" w:tplc="470CFF4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838F2"/>
    <w:multiLevelType w:val="hybridMultilevel"/>
    <w:tmpl w:val="95E02CB4"/>
    <w:lvl w:ilvl="0" w:tplc="8B7A432E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26A75"/>
    <w:multiLevelType w:val="hybridMultilevel"/>
    <w:tmpl w:val="37A4127C"/>
    <w:lvl w:ilvl="0" w:tplc="514EAA6A"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1037C1"/>
    <w:multiLevelType w:val="multilevel"/>
    <w:tmpl w:val="D2E65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20"/>
  </w:num>
  <w:num w:numId="5">
    <w:abstractNumId w:val="5"/>
  </w:num>
  <w:num w:numId="6">
    <w:abstractNumId w:val="7"/>
  </w:num>
  <w:num w:numId="7">
    <w:abstractNumId w:val="16"/>
  </w:num>
  <w:num w:numId="8">
    <w:abstractNumId w:val="15"/>
  </w:num>
  <w:num w:numId="9">
    <w:abstractNumId w:val="6"/>
  </w:num>
  <w:num w:numId="10">
    <w:abstractNumId w:val="1"/>
  </w:num>
  <w:num w:numId="11">
    <w:abstractNumId w:val="24"/>
  </w:num>
  <w:num w:numId="12">
    <w:abstractNumId w:val="25"/>
  </w:num>
  <w:num w:numId="13">
    <w:abstractNumId w:val="11"/>
  </w:num>
  <w:num w:numId="14">
    <w:abstractNumId w:val="9"/>
  </w:num>
  <w:num w:numId="15">
    <w:abstractNumId w:val="23"/>
  </w:num>
  <w:num w:numId="16">
    <w:abstractNumId w:val="0"/>
  </w:num>
  <w:num w:numId="17">
    <w:abstractNumId w:val="13"/>
  </w:num>
  <w:num w:numId="18">
    <w:abstractNumId w:val="2"/>
  </w:num>
  <w:num w:numId="19">
    <w:abstractNumId w:val="22"/>
  </w:num>
  <w:num w:numId="20">
    <w:abstractNumId w:val="10"/>
  </w:num>
  <w:num w:numId="21">
    <w:abstractNumId w:val="21"/>
  </w:num>
  <w:num w:numId="22">
    <w:abstractNumId w:val="3"/>
  </w:num>
  <w:num w:numId="23">
    <w:abstractNumId w:val="18"/>
  </w:num>
  <w:num w:numId="24">
    <w:abstractNumId w:val="8"/>
  </w:num>
  <w:num w:numId="25">
    <w:abstractNumId w:val="1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10BC7"/>
    <w:rsid w:val="0006057D"/>
    <w:rsid w:val="00067DF8"/>
    <w:rsid w:val="000704AE"/>
    <w:rsid w:val="000729E1"/>
    <w:rsid w:val="000A2822"/>
    <w:rsid w:val="000D620F"/>
    <w:rsid w:val="000F5CCA"/>
    <w:rsid w:val="00132080"/>
    <w:rsid w:val="00151B58"/>
    <w:rsid w:val="001732C0"/>
    <w:rsid w:val="00183F34"/>
    <w:rsid w:val="00194E61"/>
    <w:rsid w:val="001B2C2B"/>
    <w:rsid w:val="001D2920"/>
    <w:rsid w:val="001E3B16"/>
    <w:rsid w:val="00205257"/>
    <w:rsid w:val="00227F57"/>
    <w:rsid w:val="00233B1D"/>
    <w:rsid w:val="00241D35"/>
    <w:rsid w:val="00283AB4"/>
    <w:rsid w:val="00321CFB"/>
    <w:rsid w:val="00391D8D"/>
    <w:rsid w:val="00392FE6"/>
    <w:rsid w:val="003F4C7C"/>
    <w:rsid w:val="00416EC0"/>
    <w:rsid w:val="004C34C4"/>
    <w:rsid w:val="004C5BC4"/>
    <w:rsid w:val="00514D67"/>
    <w:rsid w:val="005156FF"/>
    <w:rsid w:val="005642C4"/>
    <w:rsid w:val="00577D64"/>
    <w:rsid w:val="005A0C1E"/>
    <w:rsid w:val="005D2BDE"/>
    <w:rsid w:val="00633933"/>
    <w:rsid w:val="006834B7"/>
    <w:rsid w:val="00684274"/>
    <w:rsid w:val="006B1286"/>
    <w:rsid w:val="006F6B44"/>
    <w:rsid w:val="0072542B"/>
    <w:rsid w:val="0073089D"/>
    <w:rsid w:val="00753C76"/>
    <w:rsid w:val="00784DF3"/>
    <w:rsid w:val="007B6F80"/>
    <w:rsid w:val="007D7052"/>
    <w:rsid w:val="007F5A77"/>
    <w:rsid w:val="008003A3"/>
    <w:rsid w:val="00802D9C"/>
    <w:rsid w:val="0082576B"/>
    <w:rsid w:val="00827617"/>
    <w:rsid w:val="00833F54"/>
    <w:rsid w:val="008553C6"/>
    <w:rsid w:val="008861AD"/>
    <w:rsid w:val="00890812"/>
    <w:rsid w:val="00893ED2"/>
    <w:rsid w:val="008B10EE"/>
    <w:rsid w:val="008B7565"/>
    <w:rsid w:val="008D3FCF"/>
    <w:rsid w:val="008F6C1D"/>
    <w:rsid w:val="00904A78"/>
    <w:rsid w:val="00906C07"/>
    <w:rsid w:val="00940B16"/>
    <w:rsid w:val="009646BA"/>
    <w:rsid w:val="009D7A2B"/>
    <w:rsid w:val="00A23228"/>
    <w:rsid w:val="00A863D1"/>
    <w:rsid w:val="00AB7E00"/>
    <w:rsid w:val="00AD4DA9"/>
    <w:rsid w:val="00AD4F72"/>
    <w:rsid w:val="00AF577B"/>
    <w:rsid w:val="00AF696E"/>
    <w:rsid w:val="00B17059"/>
    <w:rsid w:val="00B348C5"/>
    <w:rsid w:val="00B34EFC"/>
    <w:rsid w:val="00B4320A"/>
    <w:rsid w:val="00B51362"/>
    <w:rsid w:val="00B60BF9"/>
    <w:rsid w:val="00B95F8B"/>
    <w:rsid w:val="00BD0552"/>
    <w:rsid w:val="00C13617"/>
    <w:rsid w:val="00C141B0"/>
    <w:rsid w:val="00C1555D"/>
    <w:rsid w:val="00C214E4"/>
    <w:rsid w:val="00D2353A"/>
    <w:rsid w:val="00D26B57"/>
    <w:rsid w:val="00D26C8D"/>
    <w:rsid w:val="00D75D5A"/>
    <w:rsid w:val="00DB0EB9"/>
    <w:rsid w:val="00DC0BB3"/>
    <w:rsid w:val="00DD3EC2"/>
    <w:rsid w:val="00E206A9"/>
    <w:rsid w:val="00E3355C"/>
    <w:rsid w:val="00E51FDF"/>
    <w:rsid w:val="00E66DD8"/>
    <w:rsid w:val="00E814B7"/>
    <w:rsid w:val="00EA77AB"/>
    <w:rsid w:val="00F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nhabiblioteca.com.br/reader/books/978-85-216-2749-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books/97885805518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11" Type="http://schemas.openxmlformats.org/officeDocument/2006/relationships/hyperlink" Target="https://app.minhabiblioteca.com.br/reader/books/9788522465330" TargetMode="External"/><Relationship Id="rId5" Type="http://schemas.openxmlformats.org/officeDocument/2006/relationships/hyperlink" Target="mailto:paulo.fonseca@udesc.br" TargetMode="External"/><Relationship Id="rId10" Type="http://schemas.openxmlformats.org/officeDocument/2006/relationships/hyperlink" Target="https://app.minhabiblioteca.com.br/books/97885021752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inhabiblioteca.com.br/books/97885951520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5</cp:revision>
  <cp:lastPrinted>2025-08-02T03:43:00Z</cp:lastPrinted>
  <dcterms:created xsi:type="dcterms:W3CDTF">2025-02-27T22:51:00Z</dcterms:created>
  <dcterms:modified xsi:type="dcterms:W3CDTF">2025-08-02T03:45:00Z</dcterms:modified>
</cp:coreProperties>
</file>