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8"/>
          <w:szCs w:val="38"/>
          <w:rtl w:val="0"/>
        </w:rPr>
        <w:t xml:space="preserve">Termo de Abertura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Dados Abertos de Votação do TSE — Tribunal Superior Eleitoral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5b6a9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b6a9a"/>
          <w:sz w:val="18"/>
          <w:szCs w:val="18"/>
          <w:rtl w:val="0"/>
        </w:rPr>
        <w:t xml:space="preserve">Innovation Lab: Applied BI · Relational Database Programming (T-SQL) · Business Intelligence   |   Semestre 2026.2</w:t>
      </w:r>
    </w:p>
    <w:p w:rsidR="00000000" w:rsidDel="00000000" w:rsidP="00000000" w:rsidRDefault="00000000" w:rsidRPr="00000000" w14:paraId="00000004">
      <w:pPr>
        <w:pBdr>
          <w:bottom w:color="0e2841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5b6a9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77d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7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1"/>
          <w:szCs w:val="21"/>
          <w:rtl w:val="0"/>
        </w:rPr>
        <w:t xml:space="preserve">Nome da equipe: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Start Phoenix 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70" w:lineRule="auto"/>
        <w:rPr>
          <w:rFonts w:ascii="Calibri" w:cs="Calibri" w:eastAsia="Calibri" w:hAnsi="Calibri"/>
          <w:b w:val="1"/>
          <w:bCs w:val="1"/>
          <w:color w:val="1e276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1"/>
          <w:szCs w:val="21"/>
          <w:rtl w:val="0"/>
        </w:rPr>
        <w:t xml:space="preserve">Definição do Cliente: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Equipe de Inteligência de Campanha da Deputada Estadual Ana Carolina Serra do PSDB-SP que vai disputar a reeleição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before="220" w:lineRule="auto"/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77d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a9a"/>
          <w:sz w:val="19"/>
          <w:szCs w:val="19"/>
          <w:rtl w:val="0"/>
        </w:rPr>
        <w:t xml:space="preserve">Em 1 a 2 parágrafos: por que analisar os dados eleitorais do TSE do escopo escolhido é relevante para apoiar e como ele auxiliará na tomada de decisão do cliente escolhido.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Historicamente, o PSDB dominava diversos municípios do interior e regiões metropolitanas de SP. Com as mudanças políticas recentes, partidos concorrentes (como PSD, PL e Republicanos) avançaram sobre esses locais. A deputada precisa descobrir onde seu reduto foi "invadido" (onde perdeu votos), em quais colégios eleitorais a base permaneceu fiel e em quais locais o eleitor deixou de votar nela para votar apenas na legenda de outros partidos.</w:t>
      </w:r>
    </w:p>
    <w:p w:rsidR="00000000" w:rsidDel="00000000" w:rsidP="00000000" w:rsidRDefault="00000000" w:rsidRPr="00000000" w14:paraId="0000000D">
      <w:pPr>
        <w:spacing w:after="2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essa pesquisa, o cliente evita gastar dinheiro do Fundo Eleitoral panfletando em locais onde seu eleitorado já migrou para a concorrência, focando os recursos financeiros e a presença física apenas nas zonas de recuperação viável e defesa de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" w:before="220" w:lineRule="auto"/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Integrantes e Papéis</w:t>
      </w:r>
      <w:r w:rsidDel="00000000" w:rsidR="00000000" w:rsidRPr="00000000">
        <w:rPr>
          <w:rtl w:val="0"/>
        </w:rPr>
      </w:r>
    </w:p>
    <w:tbl>
      <w:tblPr>
        <w:tblStyle w:val="Table1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6"/>
        <w:gridCol w:w="3399"/>
        <w:gridCol w:w="1699"/>
        <w:gridCol w:w="4142"/>
        <w:tblGridChange w:id="0">
          <w:tblGrid>
            <w:gridCol w:w="956"/>
            <w:gridCol w:w="3399"/>
            <w:gridCol w:w="1699"/>
            <w:gridCol w:w="41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Caique Gonçalves Sambrana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2503909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Henrique Castilho Pires de Carvalho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2503580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João Vitor Costa Matos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2500350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Engenheiro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Paulo Vitor Gameleira Alves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2503481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Engenheiro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Kauê Ribeiro Garcia Mendes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2502597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de Dados</w:t>
            </w:r>
          </w:p>
        </w:tc>
      </w:tr>
    </w:tbl>
    <w:p w:rsidR="00000000" w:rsidDel="00000000" w:rsidP="00000000" w:rsidRDefault="00000000" w:rsidRPr="00000000" w14:paraId="00000028">
      <w:pPr>
        <w:spacing w:after="90" w:before="220" w:lineRule="auto"/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Bases de Dados Selecionadas</w:t>
      </w:r>
      <w:r w:rsidDel="00000000" w:rsidR="00000000" w:rsidRPr="00000000">
        <w:rPr>
          <w:rtl w:val="0"/>
        </w:rPr>
      </w:r>
    </w:p>
    <w:tbl>
      <w:tblPr>
        <w:tblStyle w:val="Table2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7863"/>
        <w:gridCol w:w="1696"/>
        <w:tblGridChange w:id="0">
          <w:tblGrid>
            <w:gridCol w:w="637"/>
            <w:gridCol w:w="7863"/>
            <w:gridCol w:w="16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 - Votação por seção eleitoral - 2022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https://dadosabertos.tse.jus.br/dataset/resultados-2022/resource/5c375ecc-9c40-4c75-921c-686a920c150a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 - Votação por seção eleitoral - 2018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https://dadosabertos.tse.jus.br/dataset/resultados-2018/resource/459d3040-12a2-4b59-9d90-31bec1e3e40d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Comparecimento e Abstenção - 2022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https://dadosabertos.tse.jus.br/dataset/comparecimento-e-abstencao-2022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e276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Eleitorado - 2022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https://dadosabertos.tse.jus.br/dataset/eleitorado-2022</w:t>
            </w:r>
          </w:p>
        </w:tc>
      </w:tr>
    </w:tbl>
    <w:p w:rsidR="00000000" w:rsidDel="00000000" w:rsidP="00000000" w:rsidRDefault="00000000" w:rsidRPr="00000000" w14:paraId="00000039">
      <w:pPr>
        <w:spacing w:after="90" w:before="220" w:lineRule="auto"/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77d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Perguntas Estratégicas de Negócio </w:t>
      </w:r>
      <w:r w:rsidDel="00000000" w:rsidR="00000000" w:rsidRPr="00000000">
        <w:rPr>
          <w:rtl w:val="0"/>
        </w:rPr>
      </w:r>
    </w:p>
    <w:tbl>
      <w:tblPr>
        <w:tblStyle w:val="Table3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5735"/>
        <w:gridCol w:w="3824"/>
        <w:tblGridChange w:id="0">
          <w:tblGrid>
            <w:gridCol w:w="637"/>
            <w:gridCol w:w="5735"/>
            <w:gridCol w:w="3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Pergunta de negócio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Decisão que ela apoia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Quais locais de votação (NM_LOCAL_VOTACAO) nos redutos históricos do candidato registraram a maior queda de Market Share?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Enviar equipes de auditoria política e lideranças locais para entender o motivo da perda de votos naquela comunidade.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baseline histórica é a votação total do PSDB em SP de 2018. Nesse caso, compararemos a votação total do PSDB em SP de 2018 e de 2022, visando apresentar ao cliente uma comparação do cenário completo de seu partido, não só de sua candidatura passada.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 quais municípios e colégios eleitorais o candidato manteve dominância superior a 25% dos votos válidos do cargo?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Blindar esses locais prioritários com presença física constante para evitar invasões da concorrência no pleito seguinte.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corte de 25% será aplicado individualmente por local de votação.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Quais Zonas Eleitorais do interior apresentam a menor diferença percentual de votos entre o nosso candidato e o concorrente líder (Swing Zones)?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Direcionar recursos de reta final de campanha e carreatas para locais onde uma pequena virada garante a liderança regional.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"concorrente líder" é definido como o 1º colocado geral da zona eleitoral.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locais de votação onde o candidato perdeu espaço, o eleitor migrou para votos em outros candidatos (nominais) ou para votos de legenda partidária?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se a propaganda deve atacar a imagem do candidato adversário ou a marca do partido rival.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análise avaliará o crescimento ou encolhimento do saldo de votos (nominais e de legenda) por Local de Votação entre os pleitos, e não o rastreamento individual do eleitor.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Quais locais de votação concentram o maior volume absoluto de eleitores nos municípios classificados como redutos vulneráveis?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Posicionar estrategicamente os militantes de boca de urna legalizada nos maiores polos de votação do município.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municípios vulneráveis são aqueles com histórico relevante da base em 2018 que sofreram maior queda de Market Share em 2022.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 é a taxa de abstenção de eleitores registrados nas seções que compõem os principais colégios eleitorais fiéis ao candidato?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Criar campanhas de mobilização e transporte no dia do pleito para garantir que o eleitor fiel não deixe de votar.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percentual de votação que define um colégio eleitoral como "fiel" é acima de 20% dos votos válidos do cargo em 2022.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 é o grau de dependência da votação total do partido no município em relação à votação individual do nosso candidato?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Negociar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maior fatia do tempo de rádio/TV e do Fundo Eleitoral com o diretório estadual da sigla.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dependência será calculada sobre a soma total da Federação PSDB/Cidadania, visto que em 2022 o PSDB e Cidadania disputaram formalmente unidos em uma Federação Partidária.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 é o perfil demográfico (faixa etária e escolaridade) predominante nos locais de votação onde o candidato teve seu pior desempenho?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Redefinir as pautas de propostas e a linguagem da comunicação digital para dialogar com essa fatia demográfica.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campanha utilizará a média sociodemográfica do colégio eleitoral 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proxy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 comunidade.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 quais locais de votação houve aumento significativo de votos nulos e brancos para Deputado Estadual dentro do nosso reduto?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panfletagem pedagógica sobre a importância do voto proporcional e como digitar o número do candidato na urna.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taxa de variação crescimento &gt; 3 p.p (pontos percentuais) de votos nulos/brancos irá disparar o gatilho de ação da equipe de rua.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se distribui a concorrência direta de outros candidatos da própria coligação/federação nos colégios eleitorais do deputado?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áreas de "canibalização interna" e pactuar divisões de território com colegas do mesmo partido.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monitoramento cobrirá apenas os candidatos concorrentes diretos com base no Grande ABC e Região Metropolitana.</w:t>
            </w:r>
          </w:p>
        </w:tc>
      </w:tr>
    </w:tbl>
    <w:p w:rsidR="00000000" w:rsidDel="00000000" w:rsidP="00000000" w:rsidRDefault="00000000" w:rsidRPr="00000000" w14:paraId="00000071">
      <w:pPr>
        <w:spacing w:after="90" w:before="220" w:lineRule="auto"/>
        <w:rPr>
          <w:rFonts w:ascii="Cambria" w:cs="Cambria" w:eastAsia="Cambria" w:hAnsi="Cambria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9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060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77d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26"/>
          <w:szCs w:val="26"/>
          <w:rtl w:val="0"/>
        </w:rPr>
        <w:t xml:space="preserve">Catálogo de KPIs</w:t>
      </w:r>
      <w:r w:rsidDel="00000000" w:rsidR="00000000" w:rsidRPr="00000000">
        <w:rPr>
          <w:rtl w:val="0"/>
        </w:rPr>
      </w:r>
    </w:p>
    <w:tbl>
      <w:tblPr>
        <w:tblStyle w:val="Table4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2868"/>
        <w:gridCol w:w="4036"/>
        <w:gridCol w:w="2655"/>
        <w:tblGridChange w:id="0">
          <w:tblGrid>
            <w:gridCol w:w="637"/>
            <w:gridCol w:w="2868"/>
            <w:gridCol w:w="4036"/>
            <w:gridCol w:w="2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 / 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shd w:fill="1e276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Pergunta(s) relacionada(s)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Variação Histórica do Market Share Partidário (VHMS)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39700"/>
                  <wp:effectExtent b="0" l="0" r="0" t="0"/>
                  <wp:docPr id="14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Onde </w:t>
            </w:r>
            <w:r w:rsidDel="00000000" w:rsidR="00000000" w:rsidRPr="00000000">
              <w:rPr/>
              <w:drawing>
                <wp:inline distB="114300" distT="114300" distL="114300" distR="114300">
                  <wp:extent cx="2235200" cy="254000"/>
                  <wp:effectExtent b="0" l="0" r="0" t="0"/>
                  <wp:docPr id="9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Taxa de Dominância por Local (TDL%)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228600"/>
                  <wp:effectExtent b="0" l="0" r="0" t="0"/>
                  <wp:docPr id="2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Margem de Disputa da Zona (MDZ p.p.)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77800"/>
                  <wp:effectExtent b="0" l="0" r="0" t="0"/>
                  <wp:docPr id="12" name="image13.gif"/>
                  <a:graphic>
                    <a:graphicData uri="http://schemas.openxmlformats.org/drawingml/2006/picture">
                      <pic:pic>
                        <pic:nvPicPr>
                          <pic:cNvPr id="0" name="image13.gif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Razão de Migração por Legenda Rival (RML%)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215900"/>
                  <wp:effectExtent b="0" l="0" r="0" t="0"/>
                  <wp:docPr id="10" name="image6.gif"/>
                  <a:graphic>
                    <a:graphicData uri="http://schemas.openxmlformats.org/drawingml/2006/picture">
                      <pic:pic>
                        <pic:nvPicPr>
                          <pic:cNvPr id="0" name="image6.gif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Densidade de Eleitores no Local Vulnerável (DELV)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Índice de Vulnerabilidade do Município (IVM)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2600" cy="152400"/>
                  <wp:effectExtent b="0" l="0" r="0" t="0"/>
                  <wp:docPr id="5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27000"/>
                  <wp:effectExtent b="0" l="0" r="0" t="0"/>
                  <wp:docPr id="1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2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Onde </w:t>
            </w:r>
            <w:r w:rsidDel="00000000" w:rsidR="00000000" w:rsidRPr="00000000">
              <w:rPr/>
              <w:drawing>
                <wp:inline distB="114300" distT="114300" distL="114300" distR="114300">
                  <wp:extent cx="1358900" cy="177800"/>
                  <wp:effectExtent b="0" l="0" r="0" t="0"/>
                  <wp:docPr id="6" name="image12.gif"/>
                  <a:graphic>
                    <a:graphicData uri="http://schemas.openxmlformats.org/drawingml/2006/picture">
                      <pic:pic>
                        <pic:nvPicPr>
                          <pic:cNvPr id="0" name="image12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se </w:t>
            </w:r>
            <w:r w:rsidDel="00000000" w:rsidR="00000000" w:rsidRPr="00000000">
              <w:rPr/>
              <w:drawing>
                <wp:inline distB="114300" distT="114300" distL="114300" distR="114300">
                  <wp:extent cx="1054100" cy="165100"/>
                  <wp:effectExtent b="0" l="0" r="0" t="0"/>
                  <wp:docPr id="8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/>
              <w:drawing>
                <wp:inline distB="114300" distT="114300" distL="114300" distR="114300">
                  <wp:extent cx="1168400" cy="177800"/>
                  <wp:effectExtent b="0" l="0" r="0" t="0"/>
                  <wp:docPr id="16" name="image10.gif"/>
                  <a:graphic>
                    <a:graphicData uri="http://schemas.openxmlformats.org/drawingml/2006/picture">
                      <pic:pic>
                        <pic:nvPicPr>
                          <pic:cNvPr id="0" name="image10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Taxa de Abstenção na Base Fiel (TABF%)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215900"/>
                  <wp:effectExtent b="0" l="0" r="0" t="0"/>
                  <wp:docPr id="3" name="image2.gif"/>
                  <a:graphic>
                    <a:graphicData uri="http://schemas.openxmlformats.org/drawingml/2006/picture">
                      <pic:pic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Índice de Dependência da Federação (IDF%)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65100"/>
                  <wp:effectExtent b="0" l="0" r="0" t="0"/>
                  <wp:docPr id="11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Perfil Demográfico Dominante do Local (PDL)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7985540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Moda da Faixa Etária e Nível de Escolaridade nos locais onde TDL ≤ 1º Quartil do Candidato</w:t>
                </w:r>
              </w:sdtContent>
            </w:sdt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 métrica retorna a combinação modal de DS_FAIXA_ETARIA e DS_GRAU_INSTRUCAO que concentra o maior volume absoluto de eleitores naquele colégio eleitoral.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1e276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Variação de Votos Alienados no Reduto (ΔIAR p.p.)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0500" cy="165100"/>
                  <wp:effectExtent b="0" l="0" r="0" t="0"/>
                  <wp:docPr id="7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Onde </w:t>
            </w:r>
            <w:r w:rsidDel="00000000" w:rsidR="00000000" w:rsidRPr="00000000">
              <w:rPr/>
              <w:drawing>
                <wp:inline distB="114300" distT="114300" distL="114300" distR="114300">
                  <wp:extent cx="2222500" cy="254000"/>
                  <wp:effectExtent b="0" l="0" r="0" t="0"/>
                  <wp:docPr id="4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 gatilho de ação aciona quando </w:t>
            </w:r>
            <w:r w:rsidDel="00000000" w:rsidR="00000000" w:rsidRPr="00000000">
              <w:rPr/>
              <w:drawing>
                <wp:inline distB="114300" distT="114300" distL="114300" distR="114300">
                  <wp:extent cx="749300" cy="152400"/>
                  <wp:effectExtent b="0" l="0" r="0" t="0"/>
                  <wp:docPr id="15" name="image8.gif"/>
                  <a:graphic>
                    <a:graphicData uri="http://schemas.openxmlformats.org/drawingml/2006/picture">
                      <pic:pic>
                        <pic:nvPicPr>
                          <pic:cNvPr id="0" name="image8.gif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1e276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76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Índice de Canibalização Regional na Federação (ICF%)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77800"/>
                  <wp:effectExtent b="0" l="0" r="0" t="0"/>
                  <wp:docPr id="13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adcfc" w:space="0" w:sz="4" w:val="single"/>
              <w:left w:color="cadcfc" w:space="0" w:sz="4" w:val="single"/>
              <w:bottom w:color="cadcfc" w:space="0" w:sz="4" w:val="single"/>
              <w:right w:color="cadcfc" w:space="0" w:sz="4" w:val="single"/>
            </w:tcBorders>
            <w:tcMar>
              <w:top w:w="130.0" w:type="dxa"/>
              <w:left w:w="110.0" w:type="dxa"/>
              <w:bottom w:w="13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C">
      <w:pPr>
        <w:spacing w:after="170" w:lineRule="auto"/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700" w:top="7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rFonts w:ascii="Calibri" w:cs="Calibri" w:eastAsia="Calibri" w:hAnsi="Calibri"/>
        <w:color w:val="5b6a9a"/>
        <w:sz w:val="16"/>
        <w:szCs w:val="16"/>
        <w:rtl w:val="0"/>
      </w:rPr>
      <w:t xml:space="preserve">Innovation Lab: Applied BI  ·  Projeto Integrador de BI — Dados TSE  ·  Página </w:t>
    </w:r>
    <w:r w:rsidDel="00000000" w:rsidR="00000000" w:rsidRPr="00000000">
      <w:rPr>
        <w:rFonts w:ascii="Calibri" w:cs="Calibri" w:eastAsia="Calibri" w:hAnsi="Calibri"/>
        <w:color w:val="5b6a9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5b6a9a"/>
        <w:sz w:val="16"/>
        <w:szCs w:val="16"/>
        <w:rtl w:val="0"/>
      </w:rPr>
      <w:t xml:space="preserve">FACULDADE IMPACTA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gif"/><Relationship Id="rId11" Type="http://schemas.openxmlformats.org/officeDocument/2006/relationships/image" Target="media/image6.gif"/><Relationship Id="rId22" Type="http://schemas.openxmlformats.org/officeDocument/2006/relationships/image" Target="media/image11.gif"/><Relationship Id="rId10" Type="http://schemas.openxmlformats.org/officeDocument/2006/relationships/image" Target="media/image13.gif"/><Relationship Id="rId21" Type="http://schemas.openxmlformats.org/officeDocument/2006/relationships/image" Target="media/image8.gif"/><Relationship Id="rId13" Type="http://schemas.openxmlformats.org/officeDocument/2006/relationships/image" Target="media/image3.gif"/><Relationship Id="rId24" Type="http://schemas.openxmlformats.org/officeDocument/2006/relationships/footer" Target="footer1.xml"/><Relationship Id="rId12" Type="http://schemas.openxmlformats.org/officeDocument/2006/relationships/image" Target="media/image14.gif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gif"/><Relationship Id="rId15" Type="http://schemas.openxmlformats.org/officeDocument/2006/relationships/image" Target="media/image15.gif"/><Relationship Id="rId14" Type="http://schemas.openxmlformats.org/officeDocument/2006/relationships/image" Target="media/image12.gif"/><Relationship Id="rId17" Type="http://schemas.openxmlformats.org/officeDocument/2006/relationships/image" Target="media/image2.gif"/><Relationship Id="rId16" Type="http://schemas.openxmlformats.org/officeDocument/2006/relationships/image" Target="media/image10.gif"/><Relationship Id="rId5" Type="http://schemas.openxmlformats.org/officeDocument/2006/relationships/styles" Target="styles.xml"/><Relationship Id="rId19" Type="http://schemas.openxmlformats.org/officeDocument/2006/relationships/image" Target="media/image9.gif"/><Relationship Id="rId6" Type="http://schemas.openxmlformats.org/officeDocument/2006/relationships/customXml" Target="../customXML/item1.xml"/><Relationship Id="rId18" Type="http://schemas.openxmlformats.org/officeDocument/2006/relationships/image" Target="media/image16.gif"/><Relationship Id="rId7" Type="http://schemas.openxmlformats.org/officeDocument/2006/relationships/image" Target="media/image7.gif"/><Relationship Id="rId8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372IgiHpAGSJFWqoFjmm1k8rVQ==">CgMxLjAaFAoBMBIPCg0IB0IJEgdHdW5nc3VoOAByITE2RnlUalRYT1ZNVWQySVltcGFzcGZWbkVlQldJdUFMSA==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2026-08-13T00:06:00Z</dcterms:created>
  <dc:creator>Un-named</dc:creator>
</cp:coreProperties>
</file>