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F3B7" w14:textId="54B26109" w:rsidR="007A051B" w:rsidRDefault="002C7BBB" w:rsidP="002C7BBB">
      <w:pPr>
        <w:jc w:val="both"/>
      </w:pPr>
      <w:r>
        <w:t xml:space="preserve">The growing healthspan-lifespan gap </w:t>
      </w:r>
      <w:r w:rsidR="000F4D4D">
        <w:t xml:space="preserve">has become an important area of </w:t>
      </w:r>
      <w:r>
        <w:t xml:space="preserve">concerns </w:t>
      </w:r>
      <w:r w:rsidR="000F4D4D">
        <w:t xml:space="preserve">relative to </w:t>
      </w:r>
      <w:r>
        <w:t xml:space="preserve">the </w:t>
      </w:r>
      <w:r w:rsidR="000F4D4D">
        <w:t xml:space="preserve">efficacy </w:t>
      </w:r>
      <w:r>
        <w:t xml:space="preserve">of our approach to healthcare </w:t>
      </w:r>
      <w:r>
        <w:fldChar w:fldCharType="begin"/>
      </w:r>
      <w:r>
        <w:instrText xml:space="preserve"> ADDIN ZOTERO_ITEM CSL_CITATION {"citationID":"rpZut0g8","properties":{"formattedCitation":"[1]","plainCitation":"[1]","noteIndex":0},"citationItems":[{"id":17561,"uris":["http://zotero.org/groups/2464735/items/5QYACNGB"],"itemData":{"id":17561,"type":"article-journal","abstract":"Life expectancy has increased by three decades since the mid-twentieth century. Parallel healthspan expansion has however not followed, largely impeded by the pandemic of chronic diseases afflicting a growing older population. The lag in quality of life is a recognized challenge that calls for prioritization of disease-free longevity. Contemporary communal, clinical and research trends aspiring to extend the health horizon are here outlined in the context of an evolving epidemiology. A shared action integrating public and societal endeavors with emerging interventions that target age-related multimorbidity and frailty is needed. A multidimensional buildout of a curative perspective, boosted by modern anti-senescent and regenerative technology with augmented decision making, would require dedicated resources and cost-effective validation to responsibly bridge the healthspan-lifespan gap for a future of equitable global wellbeing.","container-title":"NPJ Regenerative Medicine","DOI":"10.1038/s41536-021-00169-5","ISSN":"2057-3995","journalAbbreviation":"NPJ Regen Med","note":"PMID: 34556664\nPMCID: PMC8460831","page":"57","source":"PubMed Central","title":"Longevity leap: mind the healthspan gap","title-short":"Longevity leap","volume":"6","author":[{"family":"Garmany","given":"Armin"},{"family":"Yamada","given":"Satsuki"},{"family":"Terzic","given":"Andre"}],"issued":{"date-parts":[["2021",9,23]]}}}],"schema":"https://github.com/citation-style-language/schema/raw/master/csl-citation.json"} </w:instrText>
      </w:r>
      <w:r>
        <w:fldChar w:fldCharType="separate"/>
      </w:r>
      <w:r w:rsidRPr="002C7BBB">
        <w:rPr>
          <w:rFonts w:ascii="Calibri" w:hAnsi="Calibri" w:cs="Calibri"/>
        </w:rPr>
        <w:t>[1]</w:t>
      </w:r>
      <w:r>
        <w:fldChar w:fldCharType="end"/>
      </w:r>
      <w:r>
        <w:t xml:space="preserve">. </w:t>
      </w:r>
      <w:r w:rsidR="00887AA2">
        <w:t xml:space="preserve">Lack of access to healthcare only accounts for about 10% of premature deaths and other undesirable health outcomes </w:t>
      </w:r>
      <w:r w:rsidR="00887AA2">
        <w:fldChar w:fldCharType="begin"/>
      </w:r>
      <w:r w:rsidR="00887AA2">
        <w:instrText xml:space="preserve"> ADDIN ZOTERO_ITEM CSL_CITATION {"citationID":"oeK3Fiwv","properties":{"formattedCitation":"[2]","plainCitation":"[2]","noteIndex":0},"citationItems":[{"id":17567,"uris":["http://zotero.org/groups/2464735/items/4WC6XGXZ"],"itemData":{"id":17567,"type":"article-journal","abstract":"The United States spends more on health care than any other nation in the world, yet it ranks poorly on nearly every measure of health status. How can this be? What explains this apparent paradox? The two-part answer is deceptively simple — first, the pathways to better health do not generally depend on better health care, and second, even in those instances in which health care is important, too many Americans do not receive it, receive it too late, or receive poor-quality care. In this lecture, I first summarize where the United States stands in international rankings of health status. . . .","container-title":"New England Journal of Medicine","DOI":"10.1056/NEJMsa073350","ISSN":"0028-4793","issue":"12","note":"publisher: Massachusetts Medical Society\n_eprint: https://doi.org/10.1056/NEJMsa073350\nPMID: 17881753","page":"1221-1228","source":"Taylor and Francis+NEJM","title":"We Can Do Better — Improving the Health of the American People","volume":"357","author":[{"family":"Schroeder","given":"Steven A."}],"issued":{"date-parts":[["2007",9,20]]}}}],"schema":"https://github.com/citation-style-language/schema/raw/master/csl-citation.json"} </w:instrText>
      </w:r>
      <w:r w:rsidR="00887AA2">
        <w:fldChar w:fldCharType="separate"/>
      </w:r>
      <w:r w:rsidR="00887AA2" w:rsidRPr="00887AA2">
        <w:rPr>
          <w:rFonts w:ascii="Calibri" w:hAnsi="Calibri" w:cs="Calibri"/>
        </w:rPr>
        <w:t>[2]</w:t>
      </w:r>
      <w:r w:rsidR="00887AA2">
        <w:fldChar w:fldCharType="end"/>
      </w:r>
      <w:r w:rsidR="00887AA2">
        <w:t xml:space="preserve">. </w:t>
      </w:r>
      <w:r w:rsidR="00E32EFE">
        <w:t xml:space="preserve">This growing gap in </w:t>
      </w:r>
      <w:r w:rsidR="00154395">
        <w:t>quality-of-life</w:t>
      </w:r>
      <w:r w:rsidR="00E32EFE">
        <w:t xml:space="preserve"> interventions is a growing challenge for improving disease-free longevity. </w:t>
      </w:r>
      <w:r w:rsidR="00FA482F" w:rsidRPr="007A051B">
        <w:t>The current average healthspan sits at 66 years of age</w:t>
      </w:r>
      <w:r w:rsidR="00FA482F">
        <w:t xml:space="preserve"> </w:t>
      </w:r>
      <w:r w:rsidR="00FA482F">
        <w:t>with</w:t>
      </w:r>
      <w:r w:rsidR="00FA482F">
        <w:t xml:space="preserve"> </w:t>
      </w:r>
      <w:r w:rsidR="00FA482F">
        <w:t>an</w:t>
      </w:r>
      <w:r w:rsidR="00FA482F">
        <w:t xml:space="preserve"> expected increase in the US to 68 years by 2030</w:t>
      </w:r>
      <w:r w:rsidR="00FA482F" w:rsidRPr="007A051B">
        <w:t xml:space="preserve"> </w:t>
      </w:r>
      <w:r w:rsidR="00FA482F">
        <w:fldChar w:fldCharType="begin"/>
      </w:r>
      <w:r w:rsidR="00FA482F">
        <w:instrText xml:space="preserve"> ADDIN ZOTERO_ITEM CSL_CITATION {"citationID":"3yh9YrOZ","properties":{"formattedCitation":"[3]","plainCitation":"[3]","noteIndex":0},"citationItems":[{"id":17595,"uris":["http://zotero.org/groups/2464735/items/7VZZUMPY"],"itemData":{"id":17595,"type":"article-journal","abstract":"Each decade, the American Heart Association (AHA) develops an Impact Goal to guide its overall strategic direction and investments in its research, quality improvement, advocacy, and public health programs. Guided by the AHA’s new Mission Statement, to be a relentless force for a world of longer, healthier lives, the 2030 Impact Goal is anchored in an understanding that to achieve cardiovascular health for all, the AHA must include a broader vision of health and well-being and emphasize health equity. In the next decade, by 2030, the AHA will strive to equitably increase healthy life expectancy beyond current projections, with global and local collaborators, from 66 years of age to at least 68 years of age across the United States and from 64 years of age to at least 67 years of age worldwide. The AHA commits to developing additional targets for equity and well-being to accompany this overarching Impact Goal. To attain the 2030 Impact Goal, we recommend a thoughtful evaluation of interventions available to the public, patients, providers, healthcare delivery systems, communities, policy makers, and legislators. This presidential advisory summarizes the task force’s main considerations in determining the 2030 Impact Goal and the metrics to monitor progress. It describes the aspiration that these goals will be achieved by working with a diverse community of volunteers, patients, scientists, healthcare professionals, and partner organizations needed to ensure success.","container-title":"Circulation","DOI":"10.1161/CIR.0000000000000758","issue":"9","note":"publisher: American Heart Association","page":"e120-e138","source":"ahajournals.org (Atypon)","title":"The American Heart Association 2030 Impact Goal: A Presidential Advisory From the American Heart Association","title-short":"The American Heart Association 2030 Impact Goal","volume":"141","author":[{"family":"Angell","given":"Sonia Y."},{"family":"McConnell","given":"Michael V."},{"family":"Anderson","given":"Cheryl A.M."},{"family":"Bibbins-Domingo","given":"Kirsten"},{"family":"Boyle","given":"Douglas S."},{"family":"Capewell","given":"Simon"},{"family":"Ezzati","given":"Majid"},{"family":"Ferranti","given":"Sarah","non-dropping-particle":"de"},{"family":"Gaskin","given":"Darrell J."},{"family":"Goetzel","given":"Ron Z."},{"family":"Huffman","given":"Mark D."},{"family":"Jones","given":"Marsha"},{"family":"Khan","given":"Yosef M."},{"family":"Kim","given":"Sonia"},{"family":"Kumanyika","given":"Shiriki K."},{"family":"McCray","given":"Alexa T."},{"family":"Merritt","given":"Robert K."},{"family":"Milstein","given":"Bobby"},{"family":"Mozaffarian","given":"Dariush"},{"family":"Norris","given":"Tyler"},{"family":"Roth","given":"Gregory A."},{"family":"Sacco","given":"Ralph L."},{"family":"Saucedo","given":"Jorge F."},{"family":"Shay","given":"Christina M."},{"family":"Siedzik","given":"David"},{"family":"Saha","given":"Somava"},{"family":"Warner","given":"John J."}],"issued":{"date-parts":[["2020",3,3]]}}}],"schema":"https://github.com/citation-style-language/schema/raw/master/csl-citation.json"} </w:instrText>
      </w:r>
      <w:r w:rsidR="00FA482F">
        <w:fldChar w:fldCharType="separate"/>
      </w:r>
      <w:r w:rsidR="00FA482F" w:rsidRPr="00FA482F">
        <w:rPr>
          <w:rFonts w:ascii="Calibri" w:hAnsi="Calibri" w:cs="Calibri"/>
        </w:rPr>
        <w:t>[3]</w:t>
      </w:r>
      <w:r w:rsidR="00FA482F">
        <w:fldChar w:fldCharType="end"/>
      </w:r>
      <w:r w:rsidR="00FA482F">
        <w:t>.</w:t>
      </w:r>
      <w:r w:rsidR="00FA482F">
        <w:t xml:space="preserve"> </w:t>
      </w:r>
      <w:r w:rsidR="00E32EFE">
        <w:t xml:space="preserve">However, there are a multitude of interconnected </w:t>
      </w:r>
      <w:r w:rsidR="00FA482F">
        <w:t xml:space="preserve">sdoh </w:t>
      </w:r>
      <w:r w:rsidR="00E32EFE">
        <w:t>factors the drive lifespan</w:t>
      </w:r>
      <w:r w:rsidR="00154395">
        <w:t xml:space="preserve"> </w:t>
      </w:r>
      <w:r w:rsidR="007A051B" w:rsidRPr="007A051B">
        <w:t xml:space="preserve">including </w:t>
      </w:r>
      <w:r w:rsidR="007F5AF0">
        <w:t>social</w:t>
      </w:r>
      <w:r w:rsidR="007A051B" w:rsidRPr="007A051B">
        <w:t>, mental and emotional health, lifestyle choices</w:t>
      </w:r>
      <w:r w:rsidR="007A051B">
        <w:t xml:space="preserve"> and social policy</w:t>
      </w:r>
      <w:r w:rsidR="007A051B" w:rsidRPr="007A051B">
        <w:t xml:space="preserve">. </w:t>
      </w:r>
    </w:p>
    <w:p w14:paraId="5B892F88" w14:textId="6C246DCB" w:rsidR="00E32EFE" w:rsidRDefault="00154395" w:rsidP="002C7BBB">
      <w:pPr>
        <w:jc w:val="both"/>
      </w:pPr>
      <w:r>
        <w:t xml:space="preserve">and the emergence of complex comorbidity that lead to accelerated progression toward death. </w:t>
      </w:r>
    </w:p>
    <w:p w14:paraId="63522933" w14:textId="77777777" w:rsidR="003D7CAE" w:rsidRDefault="003D7CAE" w:rsidP="002C7BBB">
      <w:pPr>
        <w:jc w:val="both"/>
      </w:pPr>
    </w:p>
    <w:p w14:paraId="39C53F44" w14:textId="3E2F6529" w:rsidR="003D7CAE" w:rsidRDefault="003D7CAE" w:rsidP="002C7BBB">
      <w:pPr>
        <w:jc w:val="both"/>
      </w:pPr>
      <w:r>
        <w:t>Concepts:</w:t>
      </w:r>
    </w:p>
    <w:p w14:paraId="70287E58" w14:textId="6198E7FE" w:rsidR="003D7CAE" w:rsidRDefault="003D7CAE" w:rsidP="003D7CAE">
      <w:pPr>
        <w:pStyle w:val="ListParagraph"/>
        <w:numPr>
          <w:ilvl w:val="0"/>
          <w:numId w:val="1"/>
        </w:numPr>
        <w:jc w:val="both"/>
      </w:pPr>
      <w:r>
        <w:t>Healthspan vs Lifespan and the growing gap (living longer but not healthier)</w:t>
      </w:r>
    </w:p>
    <w:p w14:paraId="43B565CA" w14:textId="4D9C04C7" w:rsidR="003D7CAE" w:rsidRDefault="003D7CAE" w:rsidP="003D7CAE">
      <w:pPr>
        <w:pStyle w:val="ListParagraph"/>
        <w:numPr>
          <w:ilvl w:val="0"/>
          <w:numId w:val="1"/>
        </w:numPr>
        <w:jc w:val="both"/>
      </w:pPr>
      <w:r>
        <w:t>The role of m</w:t>
      </w:r>
      <w:r>
        <w:t xml:space="preserve">odifiable SDOH </w:t>
      </w:r>
      <w:r>
        <w:t>f</w:t>
      </w:r>
      <w:r>
        <w:t>actors</w:t>
      </w:r>
      <w:r>
        <w:t xml:space="preserve"> from a broader perspective</w:t>
      </w:r>
    </w:p>
    <w:p w14:paraId="670B5795" w14:textId="50873699" w:rsidR="003D7CAE" w:rsidRDefault="003D7CAE" w:rsidP="003D7CAE">
      <w:pPr>
        <w:pStyle w:val="ListParagraph"/>
        <w:numPr>
          <w:ilvl w:val="0"/>
          <w:numId w:val="1"/>
        </w:numPr>
        <w:jc w:val="both"/>
      </w:pPr>
      <w:r>
        <w:t>How much does healthcare help and can it change to improve effectiveness?</w:t>
      </w:r>
    </w:p>
    <w:p w14:paraId="7AFD9373" w14:textId="1F8154A0" w:rsidR="003D7CAE" w:rsidRDefault="003D7CAE" w:rsidP="003D7CAE">
      <w:pPr>
        <w:pStyle w:val="ListParagraph"/>
        <w:numPr>
          <w:ilvl w:val="0"/>
          <w:numId w:val="1"/>
        </w:numPr>
        <w:jc w:val="both"/>
      </w:pPr>
      <w:r>
        <w:t xml:space="preserve">Interconnected systemic factors </w:t>
      </w:r>
      <w:r w:rsidR="003A7766">
        <w:t>&amp; feedback loops drive emergence of observable phenotypes.</w:t>
      </w:r>
    </w:p>
    <w:p w14:paraId="77781CEF" w14:textId="4929E610" w:rsidR="003A7766" w:rsidRDefault="003A7766" w:rsidP="003D7CAE">
      <w:pPr>
        <w:pStyle w:val="ListParagraph"/>
        <w:numPr>
          <w:ilvl w:val="0"/>
          <w:numId w:val="1"/>
        </w:numPr>
        <w:jc w:val="both"/>
      </w:pPr>
      <w:r>
        <w:t>Strategic modeling and examples of successful implementations (i.e., EBAIS Teams in CR)</w:t>
      </w:r>
    </w:p>
    <w:p w14:paraId="616A1C4E" w14:textId="0581BA6D" w:rsidR="003A7766" w:rsidRDefault="003A7766" w:rsidP="003D7CAE">
      <w:pPr>
        <w:pStyle w:val="ListParagraph"/>
        <w:numPr>
          <w:ilvl w:val="0"/>
          <w:numId w:val="1"/>
        </w:numPr>
        <w:jc w:val="both"/>
      </w:pPr>
      <w:r>
        <w:t>Research to Practice Framework</w:t>
      </w:r>
    </w:p>
    <w:p w14:paraId="21FCA6A3" w14:textId="6A289B65" w:rsidR="003A7766" w:rsidRDefault="003A7766" w:rsidP="003D7CAE">
      <w:pPr>
        <w:pStyle w:val="ListParagraph"/>
        <w:numPr>
          <w:ilvl w:val="0"/>
          <w:numId w:val="1"/>
        </w:numPr>
        <w:jc w:val="both"/>
      </w:pPr>
      <w:r>
        <w:t xml:space="preserve">Neural Endocrine Immune </w:t>
      </w:r>
      <w:r w:rsidR="009347FA">
        <w:t>Networks &amp; Vagal Nerve Mediation of Inflammatory Pathways</w:t>
      </w:r>
    </w:p>
    <w:p w14:paraId="1751B792" w14:textId="7E5CB8D8" w:rsidR="009347FA" w:rsidRDefault="009347FA" w:rsidP="003D7CAE">
      <w:pPr>
        <w:pStyle w:val="ListParagraph"/>
        <w:numPr>
          <w:ilvl w:val="0"/>
          <w:numId w:val="1"/>
        </w:numPr>
        <w:jc w:val="both"/>
      </w:pPr>
      <w:r>
        <w:t xml:space="preserve">Sound modality </w:t>
      </w:r>
      <w:r w:rsidR="00452AEE">
        <w:t>&amp; treatment protocols</w:t>
      </w:r>
    </w:p>
    <w:sectPr w:rsidR="0093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64D7"/>
    <w:multiLevelType w:val="hybridMultilevel"/>
    <w:tmpl w:val="90C678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96607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BB"/>
    <w:rsid w:val="000F4D4D"/>
    <w:rsid w:val="00154395"/>
    <w:rsid w:val="002C7BBB"/>
    <w:rsid w:val="00373B8E"/>
    <w:rsid w:val="003A7766"/>
    <w:rsid w:val="003D7CAE"/>
    <w:rsid w:val="00452AEE"/>
    <w:rsid w:val="007A051B"/>
    <w:rsid w:val="007F5AF0"/>
    <w:rsid w:val="0085482A"/>
    <w:rsid w:val="00887AA2"/>
    <w:rsid w:val="009347FA"/>
    <w:rsid w:val="00E32EFE"/>
    <w:rsid w:val="00FA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053D"/>
  <w15:chartTrackingRefBased/>
  <w15:docId w15:val="{43131788-A483-4B23-A5FA-FA403B77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Goldsby</dc:creator>
  <cp:keywords/>
  <dc:description/>
  <cp:lastModifiedBy>Michael Goldsby</cp:lastModifiedBy>
  <cp:revision>2</cp:revision>
  <dcterms:created xsi:type="dcterms:W3CDTF">2023-09-02T11:02:00Z</dcterms:created>
  <dcterms:modified xsi:type="dcterms:W3CDTF">2023-09-02T15:30:00Z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id="4htj2Pv4"/&gt;&lt;style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