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5C50" w14:textId="1F00C9AB" w:rsidR="00E07EAB" w:rsidRDefault="00477AB1" w:rsidP="00E07EAB">
      <w:pPr>
        <w:pStyle w:val="Heading1"/>
        <w:numPr>
          <w:ilvl w:val="0"/>
          <w:numId w:val="0"/>
        </w:numPr>
      </w:pPr>
      <w:r>
        <w:t xml:space="preserve">Integrating Community-Based Health Promation &amp; Primary Care to Improve Diabetes </w:t>
      </w:r>
      <w:r w:rsidR="00BA11F5">
        <w:t>Self-</w:t>
      </w:r>
      <w:r>
        <w:t>Management</w:t>
      </w:r>
    </w:p>
    <w:p w14:paraId="1AAA5E3C" w14:textId="5CE52C92" w:rsidR="009554F5" w:rsidRDefault="004B0557" w:rsidP="00D37133">
      <w:pPr>
        <w:ind w:left="0"/>
        <w:jc w:val="both"/>
      </w:pPr>
      <w:r>
        <w:t xml:space="preserve">Diabetes is </w:t>
      </w:r>
      <w:r w:rsidR="009554F5">
        <w:t xml:space="preserve">a </w:t>
      </w:r>
      <w:r>
        <w:t>growing problem in Kentucky with approximately 13.6</w:t>
      </w:r>
      <w:r w:rsidRPr="004B0557">
        <w:rPr>
          <w:rFonts w:cs="Times New Roman (Body CS)"/>
          <w:vertAlign w:val="superscript"/>
        </w:rPr>
        <w:t>%</w:t>
      </w:r>
      <w:r>
        <w:t xml:space="preserve"> of adults diagnosed, </w:t>
      </w:r>
      <w:r w:rsidR="00906FA3">
        <w:t>~</w:t>
      </w:r>
      <w:r>
        <w:t>101,000 people with diabetes that are not diagnosed and ~33.8</w:t>
      </w:r>
      <w:r w:rsidRPr="004B0557">
        <w:rPr>
          <w:rFonts w:cs="Times New Roman (Body CS)"/>
          <w:vertAlign w:val="superscript"/>
        </w:rPr>
        <w:t>%</w:t>
      </w:r>
      <w:r>
        <w:t xml:space="preserve"> of adults with prediabetes </w:t>
      </w:r>
      <w:r>
        <w:fldChar w:fldCharType="begin"/>
      </w:r>
      <w:r>
        <w:instrText xml:space="preserve"> ADDIN ZOTERO_ITEM CSL_CITATION {"citationID":"ALyzoyBF","properties":{"formattedCitation":"[1]","plainCitation":"[1]","noteIndex":0},"citationItems":[{"id":14011,"uris":["http://zotero.org/groups/2464356/items/3FEPJWP6"],"itemData":{"id":14011,"type":"document","title":"ADV_2021_State_Fact_sheets_Kentucky.pdf","URL":"https://diabetes.org/sites/default/files/2021-10/ADV_2021_State_Fact_sheets_Kentucky.pdf","accessed":{"date-parts":[["2022",7,5]]}}}],"schema":"https://github.com/citation-style-language/schema/raw/master/csl-citation.json"} </w:instrText>
      </w:r>
      <w:r>
        <w:fldChar w:fldCharType="separate"/>
      </w:r>
      <w:r>
        <w:rPr>
          <w:noProof/>
        </w:rPr>
        <w:t>[1]</w:t>
      </w:r>
      <w:r>
        <w:fldChar w:fldCharType="end"/>
      </w:r>
      <w:r>
        <w:t xml:space="preserve">. However, individuals with </w:t>
      </w:r>
      <w:r w:rsidR="00FB1120">
        <w:t xml:space="preserve">chronic conditions </w:t>
      </w:r>
      <w:r>
        <w:t>la</w:t>
      </w:r>
      <w:r w:rsidR="00FB1120">
        <w:t>c</w:t>
      </w:r>
      <w:r>
        <w:t xml:space="preserve">k the skills, resource’s and capacity </w:t>
      </w:r>
      <w:r w:rsidR="00CF235C">
        <w:t>needed to properly manage their disease</w:t>
      </w:r>
      <w:r w:rsidR="00D95B0B">
        <w:t xml:space="preserve"> on their own</w:t>
      </w:r>
      <w:r w:rsidR="00CF235C">
        <w:t xml:space="preserve"> </w:t>
      </w:r>
      <w:r w:rsidR="00CF235C">
        <w:fldChar w:fldCharType="begin"/>
      </w:r>
      <w:r w:rsidR="00CF235C">
        <w:instrText xml:space="preserve"> ADDIN ZOTERO_ITEM CSL_CITATION {"citationID":"pEecmNG6","properties":{"formattedCitation":"[2]\\uc0\\u8211{}[4]","plainCitation":"[2]–[4]","noteIndex":0},"citationItems":[{"id":14020,"uris":["http://zotero.org/groups/2464356/items/LEQKWEUA"],"itemData":{"id":14020,"type":"article-journal","abstract":"Using data from the 2001-2005 Medical Expenditure Panel Survey, this study shows that nearly 40 percent of nonelderly adults with three or more chronic conditions had out-of-pocket expenses and premiums exceeding 5 percent of income for two consecutive years, compared with 20 percent of people who had a single chronic condition and 14 percent who had no chronic conditions. Prescription drug spending accounts for over half of the out-of-pocket spending by individuals who have multiple chronic conditions and who have had persistently high financial burdens that last two years or more. The prevalence of persons with persistently high financial burdens is likely to increase in the future, because of expected increases in prescription drug costs as well as chronic disease prevalence.","container-title":"Issue Brief (Commonwealth Fund)","ISSN":"1558-6847","journalAbbreviation":"Issue Brief (Commonw Fund)","language":"eng","note":"PMID: 19626725","page":"1-14","source":"PubMed","title":"Chronic burdens: the persistently high out-of-pocket health care expenses faced by many Americans with chronic conditions","title-short":"Chronic burdens","volume":"63","author":[{"family":"Cunningham","given":"Peter J."}],"issued":{"date-parts":[["2009",7]]}}},{"id":14018,"uris":["http://zotero.org/groups/2464356/items/TJCZA5SM"],"itemData":{"id":14018,"type":"article-journal","abstract":"A review of the empirical literature examining the relationship between social support and chronic illness self-management identified 29 articles, of which 22 were quantitative and 7 were qualitative. The majority of research in this area concerns diabetes self-management, with a few studies examining asthma, heart disease, and epilepsy management. Taken together, these studies provide evidence for a modest positive relationship between social support and chronic illness self-management, especially for diabetes. Dietary behavior appears to be particularly susceptible to social influences. In addition, social network members have potentially important negative influences on self-management There is a need to elucidate the underlying mechanisms by which support influences self-management and to examine whether this relationship varies by illness, type of support, and behavior. There is also a need to understand how the social environment may influence self-management in ways other than the provision of social support","container-title":"Health Education &amp; Behavior: The Official Publication of the Society for Public Health Education","DOI":"10.1177/1090198102251030","ISSN":"1090-1981","issue":"2","journalAbbreviation":"Health Educ Behav","language":"eng","note":"PMID: 12693522","page":"170-195","source":"PubMed","title":"The influence of social support on chronic illness self-management: a review and directions for research","title-short":"The influence of social support on chronic illness self-management","volume":"30","author":[{"family":"Gallant","given":"Mary P."}],"issued":{"date-parts":[["2003",4]]}}},{"id":14022,"uris":["http://zotero.org/groups/2464356/items/DXKFDNGA"],"itemData":{"id":14022,"type":"article-journal","abstract":"PURPOSE: Our goal was to assess the burden associated with treatment among patients living with chronic heart failure and to determine whether Normalization Process Theory (NPT) is a useful framework to help describe the components of treatment burden in these patients.\nMETHODS: We performed a secondary analysis of qualitative interview data, using framework analysis, informed by NPT, to determine the components of patient \"work.\" Participants were 47 patients with chronic heart failure managed in primary care in the United Kingdom who had participated in an earlier qualitative study about living with this condition. We identified and examined data that fell outside of the coding frame to determine if important concepts or ideas were being missed by using the chosen theoretical framework.\nRESULTS: We were able to identify and describe components of treatment burden as distinct from illness burden using the framework. Treatment burden in chronic heart failure includes the work of developing an understanding of treatments, interacting with others to organize care, attending appointments, taking medications, enacting lifestyle measures, and appraising treatments. Factors that patients reported as increasing treatment burden included too many medications and appointments, barriers to accessing services, fragmented and poorly organized care, lack of continuity, and inadequate communication between health professionals. Patient \"work\" that fell outside of the coding frame was exclusively emotional or spiritual in nature.\nCONCLUSIONS: We identified core components of treatment burden as reported by patients with chronic heart failure. The findings suggest that NPT is a theoretical framework that facilitates understanding of experiences of health care work at the individual, as well as the organizational, level. Although further exploration and patient endorsement are necessary, our findings lay the foundation for a new target for treatment and quality improvement efforts toward patient-centered care.","container-title":"Annals of Family Medicine","DOI":"10.1370/afm.1249","ISSN":"1544-1717","issue":"3","journalAbbreviation":"Ann Fam Med","language":"eng","note":"PMID: 21555751\nPMCID: PMC3090432","page":"235-243","source":"PubMed","title":"Understanding patients' experiences of treatment burden in chronic heart failure using normalization process theory","volume":"9","author":[{"family":"Gallacher","given":"Katie"},{"family":"May","given":"Carl R."},{"family":"Montori","given":"Victor M."},{"family":"Mair","given":"Frances S."}],"issued":{"date-parts":[["2011",6]]}},"label":"page"}],"schema":"https://github.com/citation-style-language/schema/raw/master/csl-citation.json"} </w:instrText>
      </w:r>
      <w:r w:rsidR="00CF235C">
        <w:fldChar w:fldCharType="separate"/>
      </w:r>
      <w:r w:rsidR="00CF235C" w:rsidRPr="00CF235C">
        <w:rPr>
          <w:rFonts w:ascii="Cambria" w:cs="Times New Roman"/>
          <w:color w:val="808080"/>
        </w:rPr>
        <w:t>[2]–[4]</w:t>
      </w:r>
      <w:r w:rsidR="00CF235C">
        <w:fldChar w:fldCharType="end"/>
      </w:r>
      <w:r w:rsidR="00CF235C">
        <w:t xml:space="preserve">. </w:t>
      </w:r>
      <w:r w:rsidR="00E31728">
        <w:t>Evidence</w:t>
      </w:r>
      <w:r w:rsidR="00FB1120">
        <w:t xml:space="preserve"> </w:t>
      </w:r>
      <w:r w:rsidR="00E31728">
        <w:t xml:space="preserve">from many large trials have demonstrated </w:t>
      </w:r>
      <w:r w:rsidR="00FB1120">
        <w:t xml:space="preserve">that integrating community-based health promotion programs and primary care will lead </w:t>
      </w:r>
      <w:r w:rsidR="00E31728">
        <w:t xml:space="preserve">to improved health outcomes and reduced costs </w:t>
      </w:r>
      <w:r w:rsidR="00E31728">
        <w:fldChar w:fldCharType="begin"/>
      </w:r>
      <w:r w:rsidR="00E31728">
        <w:instrText xml:space="preserve"> ADDIN ZOTERO_ITEM CSL_CITATION {"citationID":"HkUH1UTr","properties":{"formattedCitation":"[5]","plainCitation":"[5]","noteIndex":0},"citationItems":[{"id":14010,"uris":["http://zotero.org/groups/2464356/items/E7I5T6PC"],"itemData":{"id":14010,"type":"article-journal","abstract":"Background: Implementation of evidence-based programs (EBPs) for disease self-management and prevention is a policy priority. It is challenging to implement EBPs offered in community settings and to integrate them with healthcare. We sought to understand, categorize, and richly describe key challenges and opportunities related to integrating EBPs into routine primary care practice in the United States.\nMethods: As part of a parent, participatory action research project, we conducted a mixed methods evaluation guided by the PRECEDE implementation planning model in an 11-county region of Southeast Minnesota. Our community-partnered research team interviewed and surveyed 15 and 190 primary care clinicians and 15 and 88 non-clinician stakeholders, respectively. We coded interviews according to pre-defined PRECEDE factors and by participant type and searched for emerging themes. We then categorized survey items—before looking at participant responses—according to their ability to generate further evidence supporting the PRECEDE factors and emerging themes. We statistically summarized data within and across responder groups. When consistent, we merged these with qualitative insight.\nResults: The themes we found, “Two Systems, Two Worlds,” “Not My Job,” and “Seeing is Believing,” highlighted the disparate nature of prescribed activities that different stakeholders do to contribute to health. For instance, primary care clinicians felt pressured to focus on activities of diagnosis and treatment and did not imagine ways in which EBPs could contribute to either. Quantitative analyses supported aspects of all three themes, highlighting clinicians’ limited trust in community-placed activities, and the need for tailored education and system and policy-level changes to support their integration with primary care.\nConclusions: Primary care and community-based programs exist in disconnected worlds. Without urgent and intentional efforts to bridge well-care and sick-care, interventions that support people’s efforts to be and stay well in their communities will remain outside of—if not at odds with—healthcare.","container-title":"BMC Health Services Research","DOI":"10.1186/s12913-018-2866-7","ISSN":"1472-6963","issue":"1","journalAbbreviation":"BMC Health Serv Res","language":"en","page":"72","source":"DOI.org (Crossref)","title":"Integrating community-based health promotion programs and primary care: a mixed methods analysis of feasibility","title-short":"Integrating community-based health promotion programs and primary care","volume":"18","author":[{"family":"Leppin","given":"Aaron L."},{"family":"Schaepe","given":"Karen"},{"family":"Egginton","given":"Jason"},{"family":"Dick","given":"Sara"},{"family":"Branda","given":"Megan"},{"family":"Christiansen","given":"Lori"},{"family":"Burow","given":"Nicole M."},{"family":"Gaw","given":"Charlene"},{"family":"Montori","given":"Victor M."}],"issued":{"date-parts":[["2018",12]]}}}],"schema":"https://github.com/citation-style-language/schema/raw/master/csl-citation.json"} </w:instrText>
      </w:r>
      <w:r w:rsidR="00E31728">
        <w:fldChar w:fldCharType="separate"/>
      </w:r>
      <w:r w:rsidR="00E31728">
        <w:rPr>
          <w:noProof/>
        </w:rPr>
        <w:t>[5]</w:t>
      </w:r>
      <w:r w:rsidR="00E31728">
        <w:fldChar w:fldCharType="end"/>
      </w:r>
      <w:r w:rsidR="00E31728">
        <w:t xml:space="preserve">. </w:t>
      </w:r>
      <w:r w:rsidR="00DA2965">
        <w:t xml:space="preserve">Recently, Costa Rica has been recognized as an example success story for its implementation of Integrative Health (i.e., combining public health and primary care into a single community-based delivery model) </w:t>
      </w:r>
      <w:r w:rsidR="00DA2965">
        <w:fldChar w:fldCharType="begin"/>
      </w:r>
      <w:r w:rsidR="00AA7082">
        <w:instrText xml:space="preserve"> ADDIN ZOTERO_ITEM CSL_CITATION {"citationID":"oHOEkY45","properties":{"formattedCitation":"[6]\\uc0\\u8211{}[10]","plainCitation":"[6]–[10]","noteIndex":0},"citationItems":[{"id":14044,"uris":["http://zotero.org/groups/2464356/items/CUVE5U6G"],"itemData":{"id":14044,"type":"article-journal","language":"en","page":"82","source":"Zotero","title":"BUILDING A THRIVING PRIMARY HEALTH CARE SYSTEM: THE STORY OF COSTA RICA","author":[{"family":"Pesec","given":"Madeline"},{"family":"Ratcliffe","given":"Hannah"},{"family":"Bitton","given":"Asaf"}]},"label":"page"},{"id":14027,"uris":["http://zotero.org/groups/2464356/items/ICM5H4CJ"],"itemData":{"id":14027,"type":"webpage","abstract":"Costa Rica’s well-trained, highly skilled workforce provides an important lesson for the U.S. on how to professionalize and integrate community health workers.","language":"en","note":"DOI: 10.26099/ehbv-g283","title":"What Does Community-Oriented Primary Health Care Look Like? Lessons from Costa Rica","title-short":"What Does Community-Oriented Primary Health Care Look Like?","URL":"https://www.commonwealthfund.org/publications/case-study/2021/mar/community-oriented-primary-care-lessons-costa-rica","accessed":{"date-parts":[["2022",4,1]]},"issued":{"date-parts":[["2021",3,16]]}},"label":"page"},{"id":14058,"uris":["http://zotero.org/groups/2464356/items/S5DBXRJ2"],"itemData":{"id":14058,"type":"article-journal","abstract":"ENGLISH) Long considered a paragon among low- and middle-income countries in its provision of primary health care, Costa Rica reformed its primary health care system in 1994 using a model that, despite its success, has been generally understudied: basic integrated health care teams. This case study provides a detailed description of Costa Rica's innovative implementation of four critical service delivery reforms and explains how those reforms supported the provision of the four essential functions of primary health care: first-contact access, coordination, continuity, and comprehensiveness. As countries around the world pursue high-quality universal health coverage to attain the sustainable Development Goals, Costa Rica's experiences provide valuable lessons about both the types of primary health care reforms needed and potential mechanisms through which these reforms can be successfully implemented.","container-title":"Health Affairs","DOI":"10.1377/hlthaff.2016.1319","ISSN":"0278-2715, 1544-5208","issue":"3","journalAbbreviation":"Health Affairs","language":"en","page":"531-538","source":"DOI.org (Crossref)","title":"Primary Health Care That Works: The Costa Rican Experience","title-short":"Primary Health Care That Works","volume":"36","author":[{"family":"Pesec","given":"Madeline"},{"family":"Ratcliffe","given":"Hannah L."},{"family":"Karlage","given":"Ami"},{"family":"Hirschhorn","given":"Lisa R."},{"family":"Gawande","given":"Atul"},{"family":"Bitton","given":"Asaf"}],"issued":{"date-parts":[["2017",3]]}},"label":"page"},{"id":14052,"uris":["http://zotero.org/groups/2464356/items/ZURENSR8"],"itemData":{"id":14052,"type":"article-journal","abstract":"In 1995, Costa Rica reformed its Primary Health Care System and implemented the EBAIS model to provide health care for all its citizens. This model created multidisciplinary teams to provide holistic and integrated preventative, curative and public health services to established health areas. With a focus on primary health care, accountability, monitoring and community involvement, the Equipos Básicos de Atención Integral de Salud (EBAIS) model received strong political support and was backed by both private and public funding. In 2017, over 93% of the population had access to primary health care and Costa Rica ranked 62 out of 195 for the Healthcare Access and Quality (HAQ) index. Due to an increasing prevalence and burden of non-communicable diseases worldwide, re-commitment of this plan is imperative. The United Nations Sustainable Development Goal (SDG) 3.8 aims to achieve universal healthcare (UHC) coverage through the provision of essential health care services for all (1). As countries look towards reforming their health care systems, Costa Rica serves as an example of an innovative and successful model for delivery of primary health care. In this case study, we will examine the impact of Costa Rica’s reformed Primary Health Care System on access to health care from 1995 onwards.","language":"en","page":"12","source":"Zotero","title":"Costa Rica’s Health Care Reform: Impact and Success of the EBAIS Model","author":[{"family":"Cuccia","given":"Luca"},{"family":"Chadwick","given":"Julia"},{"family":"Kim","given":"Alexie"},{"family":"Sivarajan","given":"Reginold"},{"family":"Wong","given":"Vanessa"}]},"label":"page"},{"id":14033,"uris":["http://zotero.org/groups/2464356/items/GKSVXQDG"],"itemData":{"id":14033,"type":"article-journal","language":"en","page":"33","source":"Zotero","title":"A Comparison of the United States and Costa Rican Health Care Systems and Their Influence on Immigrant Women's Maternal and Child Health Outcomes","author":[{"family":"Sullivan","given":"Tamera R"}]},"label":"page"}],"schema":"https://github.com/citation-style-language/schema/raw/master/csl-citation.json"} </w:instrText>
      </w:r>
      <w:r w:rsidR="00DA2965">
        <w:fldChar w:fldCharType="separate"/>
      </w:r>
      <w:r w:rsidR="00AA7082" w:rsidRPr="00AA7082">
        <w:rPr>
          <w:rFonts w:ascii="Cambria" w:cs="Times New Roman"/>
          <w:color w:val="808080"/>
        </w:rPr>
        <w:t>[6]–[10]</w:t>
      </w:r>
      <w:r w:rsidR="00DA2965">
        <w:fldChar w:fldCharType="end"/>
      </w:r>
      <w:r w:rsidR="00DA2965">
        <w:t>.</w:t>
      </w:r>
      <w:r w:rsidR="00AA7082">
        <w:t xml:space="preserve"> </w:t>
      </w:r>
      <w:r w:rsidR="00D95B0B">
        <w:t>The 5 key lessons learned over the past 5 decade</w:t>
      </w:r>
      <w:r w:rsidR="00E57942">
        <w:t>s</w:t>
      </w:r>
      <w:r w:rsidR="00D95B0B">
        <w:t xml:space="preserve"> are 1. </w:t>
      </w:r>
      <w:r w:rsidR="00D95B0B" w:rsidRPr="00D95B0B">
        <w:t xml:space="preserve">Integration of public health with primary health care, </w:t>
      </w:r>
      <w:r w:rsidR="00D95B0B">
        <w:t xml:space="preserve">2. </w:t>
      </w:r>
      <w:r w:rsidR="00D95B0B" w:rsidRPr="00D95B0B">
        <w:t xml:space="preserve">Multidisciplinary teams integrated within the community, </w:t>
      </w:r>
      <w:r w:rsidR="00D95B0B">
        <w:t xml:space="preserve">3. </w:t>
      </w:r>
      <w:r w:rsidR="00D95B0B" w:rsidRPr="00D95B0B">
        <w:t xml:space="preserve">Geographic empanelment, </w:t>
      </w:r>
      <w:r w:rsidR="00D95B0B">
        <w:t xml:space="preserve">4. </w:t>
      </w:r>
      <w:r w:rsidR="00D95B0B" w:rsidRPr="00D95B0B">
        <w:t xml:space="preserve">Measurement and quality improvement at all levels, </w:t>
      </w:r>
      <w:r w:rsidR="00D95B0B">
        <w:t xml:space="preserve">5. </w:t>
      </w:r>
      <w:r w:rsidR="00D95B0B" w:rsidRPr="00D95B0B">
        <w:t>Integration of digital technologies at all levels</w:t>
      </w:r>
      <w:r w:rsidR="00D95B0B">
        <w:t xml:space="preserve">. </w:t>
      </w:r>
      <w:r w:rsidR="00DD36A0">
        <w:t xml:space="preserve">An important side-effect of this approach is that many older people </w:t>
      </w:r>
      <w:r w:rsidR="00D53605">
        <w:t>“</w:t>
      </w:r>
      <w:r w:rsidR="00DD36A0">
        <w:t>age-in-place</w:t>
      </w:r>
      <w:r w:rsidR="00D53605">
        <w:t>”</w:t>
      </w:r>
      <w:r w:rsidR="00DD36A0">
        <w:t xml:space="preserve"> </w:t>
      </w:r>
      <w:r w:rsidR="00DD36A0">
        <w:fldChar w:fldCharType="begin"/>
      </w:r>
      <w:r w:rsidR="00D53605">
        <w:instrText xml:space="preserve"> ADDIN ZOTERO_ITEM CSL_CITATION {"citationID":"0WdVRrBo","properties":{"formattedCitation":"[11], [12]","plainCitation":"[11], [12]","noteIndex":0},"citationItems":[{"id":14088,"uris":["http://zotero.org/groups/2464356/items/3XDELAJ9"],"itemData":{"id":14088,"type":"webpage","abstract":"Many older adults want to stay in their homes as they age. Get tips on planning ahead to stay in your home and ways to find the services you need.","container-title":"National Institute on Aging","language":"en","title":"Aging in Place: Growing Older at Home","title-short":"Aging in Place","URL":"https://www.nia.nih.gov/health/aging-place-growing-older-home","accessed":{"date-parts":[["2022",7,5]]}},"label":"page"},{"id":14090,"uris":["http://zotero.org/groups/2464356/items/TLX9I4ZC"],"itemData":{"id":14090,"type":"webpage","abstract":"This page provides an overview of aging in place, including definitions of aging in place and its benefits.","language":"en","title":"Overview of Aging in Place – RHIhub Aging in Place Toolkit","URL":"https://www.ruralhealthinfo.org/toolkits/aging/1/overview","accessed":{"date-parts":[["2022",7,5]]}},"label":"page"}],"schema":"https://github.com/citation-style-language/schema/raw/master/csl-citation.json"} </w:instrText>
      </w:r>
      <w:r w:rsidR="00DD36A0">
        <w:fldChar w:fldCharType="separate"/>
      </w:r>
      <w:r w:rsidR="00D53605">
        <w:rPr>
          <w:noProof/>
        </w:rPr>
        <w:t>[11], [12]</w:t>
      </w:r>
      <w:r w:rsidR="00DD36A0">
        <w:fldChar w:fldCharType="end"/>
      </w:r>
      <w:r w:rsidR="00DD36A0">
        <w:t xml:space="preserve"> thus </w:t>
      </w:r>
      <w:r w:rsidR="00384920">
        <w:t>red</w:t>
      </w:r>
      <w:r w:rsidR="00470D32">
        <w:t>ucing</w:t>
      </w:r>
      <w:r w:rsidR="00DD36A0">
        <w:t xml:space="preserve"> the need for long-term care facilities. Additionally, this preventive care</w:t>
      </w:r>
      <w:r w:rsidR="00D53605">
        <w:t>,</w:t>
      </w:r>
      <w:r w:rsidR="00DD36A0">
        <w:t xml:space="preserve"> at all levels</w:t>
      </w:r>
      <w:r w:rsidR="00D53605">
        <w:t>,</w:t>
      </w:r>
      <w:r w:rsidR="00DD36A0">
        <w:t xml:space="preserve"> approach substantially reduces </w:t>
      </w:r>
      <w:r w:rsidR="00D53605">
        <w:t>ER use for non-emergency services.</w:t>
      </w:r>
      <w:r w:rsidR="006F4602">
        <w:t xml:space="preserve"> </w:t>
      </w:r>
      <w:r w:rsidR="00470D32">
        <w:t xml:space="preserve">Luca </w:t>
      </w:r>
      <w:proofErr w:type="spellStart"/>
      <w:r w:rsidR="00470D32">
        <w:t>Cuccia</w:t>
      </w:r>
      <w:proofErr w:type="spellEnd"/>
      <w:r w:rsidR="00470D32">
        <w:t xml:space="preserve">, et. Al. </w:t>
      </w:r>
      <w:r w:rsidR="006F4602">
        <w:t>quantif</w:t>
      </w:r>
      <w:r w:rsidR="00470D32">
        <w:t>y</w:t>
      </w:r>
      <w:r w:rsidR="006F4602">
        <w:t xml:space="preserve"> </w:t>
      </w:r>
      <w:r w:rsidR="00470D32">
        <w:t xml:space="preserve">Costa Rica’s </w:t>
      </w:r>
      <w:r w:rsidR="006F4602">
        <w:t>accomplishments in terms of evidence-based metrics which has recently gained the attention of healthcare organizations in the United States</w:t>
      </w:r>
      <w:r w:rsidR="00470D32">
        <w:t xml:space="preserve"> and other countries</w:t>
      </w:r>
      <w:r w:rsidR="0005330A">
        <w:t xml:space="preserve"> </w:t>
      </w:r>
      <w:r w:rsidR="0005330A">
        <w:fldChar w:fldCharType="begin"/>
      </w:r>
      <w:r w:rsidR="0005330A">
        <w:instrText xml:space="preserve"> ADDIN ZOTERO_ITEM CSL_CITATION {"citationID":"RqUB5ohW","properties":{"formattedCitation":"[9]","plainCitation":"[9]","noteIndex":0},"citationItems":[{"id":14052,"uris":["http://zotero.org/groups/2464356/items/ZURENSR8"],"itemData":{"id":14052,"type":"article-journal","abstract":"In 1995, Costa Rica reformed its Primary Health Care System and implemented the EBAIS model to provide health care for all its citizens. This model created multidisciplinary teams to provide holistic and integrated preventative, curative and public health services to established health areas. With a focus on primary health care, accountability, monitoring and community involvement, the Equipos Básicos de Atención Integral de Salud (EBAIS) model received strong political support and was backed by both private and public funding. In 2017, over 93% of the population had access to primary health care and Costa Rica ranked 62 out of 195 for the Healthcare Access and Quality (HAQ) index. Due to an increasing prevalence and burden of non-communicable diseases worldwide, re-commitment of this plan is imperative. The United Nations Sustainable Development Goal (SDG) 3.8 aims to achieve universal healthcare (UHC) coverage through the provision of essential health care services for all (1). As countries look towards reforming their health care systems, Costa Rica serves as an example of an innovative and successful model for delivery of primary health care. In this case study, we will examine the impact of Costa Rica’s reformed Primary Health Care System on access to health care from 1995 onwards.","language":"en","page":"12","source":"Zotero","title":"Costa Rica’s Health Care Reform: Impact and Success of the EBAIS Model","author":[{"family":"Cuccia","given":"Luca"},{"family":"Chadwick","given":"Julia"},{"family":"Kim","given":"Alexie"},{"family":"Sivarajan","given":"Reginold"},{"family":"Wong","given":"Vanessa"}]}}],"schema":"https://github.com/citation-style-language/schema/raw/master/csl-citation.json"} </w:instrText>
      </w:r>
      <w:r w:rsidR="0005330A">
        <w:fldChar w:fldCharType="separate"/>
      </w:r>
      <w:r w:rsidR="0005330A">
        <w:rPr>
          <w:noProof/>
        </w:rPr>
        <w:t>[9]</w:t>
      </w:r>
      <w:r w:rsidR="0005330A">
        <w:fldChar w:fldCharType="end"/>
      </w:r>
      <w:r w:rsidR="006F4602">
        <w:t>.</w:t>
      </w:r>
    </w:p>
    <w:p w14:paraId="548B5C59" w14:textId="5F7A33B9" w:rsidR="00D378AC" w:rsidRDefault="006F4602" w:rsidP="00D37133">
      <w:pPr>
        <w:ind w:left="0"/>
        <w:jc w:val="both"/>
      </w:pPr>
      <w:r w:rsidRPr="001E387C">
        <w:t>Federally Qualified Health</w:t>
      </w:r>
      <w:r w:rsidR="005A37E0">
        <w:t>c</w:t>
      </w:r>
      <w:r w:rsidRPr="001E387C">
        <w:t xml:space="preserve">are Centers </w:t>
      </w:r>
      <w:r>
        <w:t xml:space="preserve">(FQHC) </w:t>
      </w:r>
      <w:r w:rsidRPr="001E387C">
        <w:t>and Rural Health Clinics</w:t>
      </w:r>
      <w:r>
        <w:t xml:space="preserve"> (RHC) </w:t>
      </w:r>
      <w:r w:rsidR="006752DE">
        <w:t xml:space="preserve">take an important step toward integrating public health and primary care. However, the </w:t>
      </w:r>
      <w:r w:rsidR="00700259">
        <w:t>Costa Rician Health</w:t>
      </w:r>
      <w:r w:rsidR="005A37E0">
        <w:t>c</w:t>
      </w:r>
      <w:r w:rsidR="00700259">
        <w:t>are System</w:t>
      </w:r>
      <w:r w:rsidR="006752DE">
        <w:t xml:space="preserve"> better leverages m</w:t>
      </w:r>
      <w:r w:rsidR="006752DE" w:rsidRPr="00D95B0B">
        <w:t>ultidisciplinary teams integrated within the community</w:t>
      </w:r>
      <w:r w:rsidR="006752DE">
        <w:t xml:space="preserve"> to insure better care coordination across </w:t>
      </w:r>
      <w:r w:rsidR="002713BB">
        <w:t xml:space="preserve">public health functions, primary, secondary, and tertiary care. Thus, leading to improved </w:t>
      </w:r>
      <w:r w:rsidR="005A37E0">
        <w:t>scalability</w:t>
      </w:r>
      <w:r w:rsidR="006752DE">
        <w:t xml:space="preserve"> of preventive </w:t>
      </w:r>
      <w:r w:rsidR="002713BB">
        <w:t xml:space="preserve">care </w:t>
      </w:r>
      <w:r w:rsidR="006752DE">
        <w:t>services</w:t>
      </w:r>
      <w:r w:rsidR="00CB3B73">
        <w:t xml:space="preserve">. </w:t>
      </w:r>
      <w:r w:rsidR="00D378AC">
        <w:t xml:space="preserve">The study hypothesis that by </w:t>
      </w:r>
      <w:r w:rsidR="00E97604">
        <w:t>re</w:t>
      </w:r>
      <w:r w:rsidR="00D378AC">
        <w:t xml:space="preserve">organizing community </w:t>
      </w:r>
      <w:r w:rsidR="00E97604">
        <w:t xml:space="preserve">health workers, </w:t>
      </w:r>
      <w:proofErr w:type="spellStart"/>
      <w:r w:rsidR="00E97604" w:rsidRPr="006F43F8">
        <w:t>kynectors</w:t>
      </w:r>
      <w:proofErr w:type="spellEnd"/>
      <w:r w:rsidR="00E97604">
        <w:t xml:space="preserve"> and other roles into a model </w:t>
      </w:r>
      <w:proofErr w:type="gramStart"/>
      <w:r w:rsidR="00E97604">
        <w:t>similar to</w:t>
      </w:r>
      <w:proofErr w:type="gramEnd"/>
      <w:r w:rsidR="00E97604">
        <w:t xml:space="preserve"> the Costa Rician EBAIS teams and improving coordination with</w:t>
      </w:r>
      <w:r w:rsidR="00D378AC">
        <w:t xml:space="preserve"> FQHC and RHC </w:t>
      </w:r>
      <w:r w:rsidR="00E97604">
        <w:t xml:space="preserve">will lead to an overall improvement in </w:t>
      </w:r>
      <w:r w:rsidR="005A37E0">
        <w:t xml:space="preserve">quality of </w:t>
      </w:r>
      <w:r w:rsidR="00E97604">
        <w:t>care</w:t>
      </w:r>
      <w:r w:rsidR="005A37E0">
        <w:t>,</w:t>
      </w:r>
      <w:r w:rsidR="00E97604">
        <w:t xml:space="preserve"> </w:t>
      </w:r>
      <w:r w:rsidR="00AA6320">
        <w:t>outcomes,</w:t>
      </w:r>
      <w:r w:rsidR="005A37E0">
        <w:t xml:space="preserve"> and costs</w:t>
      </w:r>
      <w:r w:rsidR="00E97604">
        <w:t>.</w:t>
      </w:r>
      <w:r w:rsidR="00E877FF">
        <w:t xml:space="preserve"> Additionally, evidence-based health promotion programs (EBP) can be introduced into the community-based team to improve self-care. </w:t>
      </w:r>
      <w:r w:rsidR="001C77F7">
        <w:t xml:space="preserve">Targeted EBP programs for diabetes could be introduced that follow a similar process to </w:t>
      </w:r>
      <w:r w:rsidR="001C77F7">
        <w:fldChar w:fldCharType="begin"/>
      </w:r>
      <w:r w:rsidR="001C77F7">
        <w:instrText xml:space="preserve"> ADDIN ZOTERO_ITEM CSL_CITATION {"citationID":"Hyw4YFIS","properties":{"formattedCitation":"[13]","plainCitation":"[13]","noteIndex":0},"citationItems":[{"id":14100,"uris":["http://zotero.org/groups/2464356/items/I2I5E8HF"],"itemData":{"id":14100,"type":"article-journal","abstract":"Healthy People 2020 includes an objective to increase the proportion of elementary, middle, and senior high schools that provide comprehensive school health education to prevent health problems in the following areas: unintentional injury; violence; suicide; tobacco use and addiction; alcohol or other drug use; unintended pregnancy, HIV/AIDS, and sexually transmitted infections (STI); unhealthy dietary patterns; and inadequate physical activity. These specific goals are part of the efforts of Healthy People 2020 to increase the proportion of elementary, middle, and senior high schools that have health education goals or objectives that address the knowledge and skills articulated in the National Health Education Standards. A focus on Pre-K through 12 health education is a prerequisite for the implementation of a coordinated, seamless approach to health education as advocated by the Healthy People Curriculum Task Force and incorporated into the Education for Health framework. To help accomplish these goals, this article views the role of education as part of the broader socioecologic model of health. A comprehensive literature review was undertaken to identify evidence-based, peer-reviewed programs, strategies, and resources. The results of this review are presented organized as sexual health, mental and emotional health, injury prevention, tobacco and substance abuse, and exercise and healthy eating. Evidence-based implementation strategies, often considered the missing link, are recommended to help achieve the Healthy People 2020 objective of increasing the prevalence of comprehensive school health education programs designed to reduce health risks for children.","container-title":"American Journal of Preventive Medicine","DOI":"10.1016/j.amepre.2010.10.031","ISSN":"0749-3797","issue":"2","journalAbbreviation":"American Journal of Preventive Medicine","language":"en","page":"207-219","source":"ScienceDirect","title":"Evidence-Based Health Promotion Programs for Schools and Communities","volume":"40","author":[{"family":"Inman","given":"Dianna D."},{"family":"Bakergem","given":"Karen M.","non-dropping-particle":"van"},{"family":"LaRosa","given":"Angela C."},{"family":"Garr","given":"David R."}],"issued":{"date-parts":[["2011",2,1]]}}}],"schema":"https://github.com/citation-style-language/schema/raw/master/csl-citation.json"} </w:instrText>
      </w:r>
      <w:r w:rsidR="001C77F7">
        <w:fldChar w:fldCharType="separate"/>
      </w:r>
      <w:r w:rsidR="001C77F7">
        <w:rPr>
          <w:noProof/>
        </w:rPr>
        <w:t>[13]</w:t>
      </w:r>
      <w:r w:rsidR="001C77F7">
        <w:fldChar w:fldCharType="end"/>
      </w:r>
      <w:r w:rsidR="001C77F7">
        <w:t>.</w:t>
      </w:r>
    </w:p>
    <w:p w14:paraId="6F26F2F4" w14:textId="224C02AD" w:rsidR="00DE2407" w:rsidRDefault="001C77F7" w:rsidP="00DE2407">
      <w:pPr>
        <w:ind w:left="0"/>
        <w:jc w:val="both"/>
      </w:pPr>
      <w:r>
        <w:t xml:space="preserve">This study proposes </w:t>
      </w:r>
      <w:r w:rsidR="00EB7AB6">
        <w:t xml:space="preserve">a longitudinal approach that investigates the </w:t>
      </w:r>
      <w:r w:rsidR="00DE2407">
        <w:t>quality-of-care</w:t>
      </w:r>
      <w:r w:rsidR="00EB7AB6">
        <w:t xml:space="preserve"> relative to disease progression and the impact of individual community-based components such as FQHC/RHC and community-based teams. </w:t>
      </w:r>
      <w:r w:rsidR="00DE2407">
        <w:t xml:space="preserve">The study will also compare and contrast the current model of care to that of the Costa Rician community-based model in order to extract evidence-based programs that can be tested in Kentucky. This approach will allow not only the comparison of </w:t>
      </w:r>
      <w:r w:rsidR="00CE25E2">
        <w:t>community-based care</w:t>
      </w:r>
      <w:r w:rsidR="00883135">
        <w:t xml:space="preserve"> </w:t>
      </w:r>
      <w:r w:rsidR="00CE25E2">
        <w:t>vs</w:t>
      </w:r>
      <w:r w:rsidR="00883135">
        <w:t xml:space="preserve"> traditional primary care</w:t>
      </w:r>
      <w:r w:rsidR="00CE25E2">
        <w:t xml:space="preserve"> outcomes but can also examine factors that drive disease complications and progression in both settings.</w:t>
      </w:r>
    </w:p>
    <w:p w14:paraId="4C42D18D" w14:textId="682B2956" w:rsidR="006F4602" w:rsidRDefault="00B149BC" w:rsidP="00DE2407">
      <w:pPr>
        <w:ind w:left="0"/>
        <w:jc w:val="both"/>
      </w:pPr>
      <w:r>
        <w:t xml:space="preserve">This can be compared to the Costa Rician approach to extract best practices that show the strongest evidence of effectiveness. </w:t>
      </w:r>
      <w:r w:rsidR="00CB3B73">
        <w:t>From this investigation, recommendations can be proposed that bring in best practices from local experiences and the Costa Rician model of healthcare delivery.</w:t>
      </w:r>
    </w:p>
    <w:p w14:paraId="7B7370C6" w14:textId="16BA4E46" w:rsidR="00CB3B73" w:rsidRDefault="00CB3B73" w:rsidP="00D37133">
      <w:pPr>
        <w:ind w:left="0"/>
        <w:jc w:val="both"/>
      </w:pPr>
    </w:p>
    <w:p w14:paraId="04598E1A" w14:textId="77777777" w:rsidR="00CB3B73" w:rsidRDefault="00CB3B73" w:rsidP="00D37133">
      <w:pPr>
        <w:ind w:left="0"/>
        <w:jc w:val="both"/>
      </w:pPr>
    </w:p>
    <w:p w14:paraId="7C0C7604" w14:textId="296692D4" w:rsidR="007A6DBB" w:rsidRDefault="00F434AB" w:rsidP="00F434AB">
      <w:pPr>
        <w:pStyle w:val="Heading2"/>
      </w:pPr>
      <w:r>
        <w:t>Aims:</w:t>
      </w:r>
    </w:p>
    <w:p w14:paraId="2E36A4EF" w14:textId="01416353" w:rsidR="00F434AB" w:rsidRDefault="00F434AB" w:rsidP="00F434AB">
      <w:pPr>
        <w:pStyle w:val="Heading3"/>
      </w:pPr>
      <w:r>
        <w:t xml:space="preserve">Develop compliance &amp; outcomes measurement framework (or utilize </w:t>
      </w:r>
      <w:r w:rsidR="00A06C21">
        <w:t>variation</w:t>
      </w:r>
      <w:r>
        <w:t xml:space="preserve"> on existing fra</w:t>
      </w:r>
      <w:r w:rsidR="00A06C21">
        <w:t>mework such as HEDIS).</w:t>
      </w:r>
    </w:p>
    <w:p w14:paraId="563E26E2" w14:textId="14B9A950" w:rsidR="00F434AB" w:rsidRDefault="00A06C21" w:rsidP="00F434AB">
      <w:pPr>
        <w:pStyle w:val="Heading3"/>
      </w:pPr>
      <w:r>
        <w:t>Develop analysis models utilizing survival analysis and other appropriate techniques.</w:t>
      </w:r>
    </w:p>
    <w:p w14:paraId="74612C7A" w14:textId="6B51E7A1" w:rsidR="00854B90" w:rsidRDefault="00854B90" w:rsidP="00F434AB">
      <w:pPr>
        <w:pStyle w:val="Heading3"/>
      </w:pPr>
      <w:r>
        <w:t>Identify high-value EBP targets and regions for field pilot projects.</w:t>
      </w:r>
    </w:p>
    <w:p w14:paraId="31A11829" w14:textId="299FD954" w:rsidR="00A06C21" w:rsidRDefault="00A06C21" w:rsidP="00F434AB">
      <w:pPr>
        <w:pStyle w:val="Heading3"/>
      </w:pPr>
      <w:r>
        <w:t>Develop EBP pilot testing protocol to collect verification data in the field.</w:t>
      </w:r>
    </w:p>
    <w:p w14:paraId="3AD918B8" w14:textId="550DA6DC" w:rsidR="00A06C21" w:rsidRDefault="00854B90" w:rsidP="00F434AB">
      <w:pPr>
        <w:pStyle w:val="Heading3"/>
      </w:pPr>
      <w:r>
        <w:t xml:space="preserve">Analyze pilot results and provide policy </w:t>
      </w:r>
      <w:r w:rsidR="00E10C79">
        <w:t xml:space="preserve">&amp; clinical practice guideline </w:t>
      </w:r>
      <w:r>
        <w:t>recommendations.</w:t>
      </w:r>
    </w:p>
    <w:p w14:paraId="3488DBD6" w14:textId="49955248" w:rsidR="00F434AB" w:rsidRDefault="009126A9" w:rsidP="00F434AB">
      <w:pPr>
        <w:pStyle w:val="Heading2"/>
      </w:pPr>
      <w:r>
        <w:t>Target Research Areas</w:t>
      </w:r>
      <w:r w:rsidR="00854B90">
        <w:t>:</w:t>
      </w:r>
    </w:p>
    <w:p w14:paraId="212DF481" w14:textId="74260EF3" w:rsidR="00854B90" w:rsidRDefault="00854B90" w:rsidP="00854B90">
      <w:pPr>
        <w:pStyle w:val="Heading3"/>
      </w:pPr>
      <w:r>
        <w:t xml:space="preserve">Mental health EBP’s (e.g., depression, anxiety, </w:t>
      </w:r>
      <w:r w:rsidR="00040C08">
        <w:t>chronic stress, addiction, etc</w:t>
      </w:r>
      <w:r w:rsidR="009126A9">
        <w:t>.</w:t>
      </w:r>
      <w:r w:rsidR="00040C08">
        <w:t>).</w:t>
      </w:r>
    </w:p>
    <w:p w14:paraId="5FE1A9D6" w14:textId="3B34D041" w:rsidR="00040C08" w:rsidRDefault="00040C08" w:rsidP="00854B90">
      <w:pPr>
        <w:pStyle w:val="Heading3"/>
      </w:pPr>
      <w:r>
        <w:t xml:space="preserve">Social health EBP’s (e.g., isolation, social support, </w:t>
      </w:r>
      <w:r w:rsidR="009126A9">
        <w:t xml:space="preserve">peer-support, </w:t>
      </w:r>
      <w:r>
        <w:t>etc</w:t>
      </w:r>
      <w:r w:rsidR="009126A9">
        <w:t>.</w:t>
      </w:r>
      <w:r>
        <w:t>).</w:t>
      </w:r>
    </w:p>
    <w:p w14:paraId="05E05D5C" w14:textId="73186919" w:rsidR="00040C08" w:rsidRDefault="009126A9" w:rsidP="00854B90">
      <w:pPr>
        <w:pStyle w:val="Heading3"/>
      </w:pPr>
      <w:r>
        <w:t>Healthcare Quality &amp; Access EBP’s (e.g., community clinics, community-based teams).</w:t>
      </w:r>
    </w:p>
    <w:p w14:paraId="0A84E8C9" w14:textId="41EDBE2F" w:rsidR="009126A9" w:rsidRDefault="009126A9" w:rsidP="00854B90">
      <w:pPr>
        <w:pStyle w:val="Heading3"/>
      </w:pPr>
      <w:r>
        <w:t>Technology enabled EBP’s (e.g., telehealth, mobile screening, etc.).</w:t>
      </w:r>
    </w:p>
    <w:p w14:paraId="58A5EEA9" w14:textId="1F37BC51" w:rsidR="001A6ABE" w:rsidRDefault="001A6ABE" w:rsidP="00854B90">
      <w:pPr>
        <w:pStyle w:val="Heading3"/>
      </w:pPr>
      <w:r>
        <w:t xml:space="preserve">Community &amp; Clinical Education EBP’s (e.g., </w:t>
      </w:r>
      <w:r w:rsidR="00FE3C7D">
        <w:t>self-care, …).</w:t>
      </w:r>
    </w:p>
    <w:p w14:paraId="3830580B" w14:textId="13619E44" w:rsidR="00040C08" w:rsidRDefault="00040C08" w:rsidP="00040C08">
      <w:pPr>
        <w:pStyle w:val="Heading2"/>
      </w:pPr>
      <w:r>
        <w:t>Benefit</w:t>
      </w:r>
      <w:r>
        <w:t>s:</w:t>
      </w:r>
    </w:p>
    <w:p w14:paraId="31AE646E" w14:textId="21808BE6" w:rsidR="00040C08" w:rsidRDefault="00040C08" w:rsidP="00040C08">
      <w:pPr>
        <w:pStyle w:val="Heading3"/>
      </w:pPr>
      <w:r>
        <w:t xml:space="preserve">Quantitatively highlight the value of prevention over </w:t>
      </w:r>
      <w:r>
        <w:t>institutional disease management</w:t>
      </w:r>
      <w:r>
        <w:t xml:space="preserve"> to reduce long-term costs and improve population health.</w:t>
      </w:r>
    </w:p>
    <w:p w14:paraId="0A4F9FEA" w14:textId="55B617A1" w:rsidR="00040C08" w:rsidRDefault="00040C08" w:rsidP="00040C08">
      <w:pPr>
        <w:pStyle w:val="Heading3"/>
      </w:pPr>
      <w:r>
        <w:t>Identify the key components and processes that support the most effective delivery system.</w:t>
      </w:r>
    </w:p>
    <w:p w14:paraId="45B55986" w14:textId="04B77FF5" w:rsidR="00646E8D" w:rsidRDefault="00646E8D" w:rsidP="00040C08">
      <w:pPr>
        <w:pStyle w:val="Heading3"/>
      </w:pPr>
      <w:r>
        <w:t xml:space="preserve">Analysis models could be </w:t>
      </w:r>
      <w:r w:rsidR="00FE3C7D">
        <w:t>integrated into technology</w:t>
      </w:r>
      <w:r>
        <w:t xml:space="preserve"> </w:t>
      </w:r>
      <w:r w:rsidR="00FE3C7D">
        <w:t>reimbursement</w:t>
      </w:r>
      <w:r>
        <w:t xml:space="preserve"> and pay</w:t>
      </w:r>
      <w:r w:rsidR="00FE3C7D">
        <w:t xml:space="preserve">ment systems. </w:t>
      </w:r>
      <w:r w:rsidR="00384920">
        <w:t>Additionally,</w:t>
      </w:r>
      <w:r w:rsidR="00FE3C7D">
        <w:t xml:space="preserve"> could be employed to measure provider quality of care.</w:t>
      </w:r>
    </w:p>
    <w:p w14:paraId="76B8770E" w14:textId="6ACF4DDC" w:rsidR="001A6ABE" w:rsidRDefault="001A6ABE" w:rsidP="001A6ABE"/>
    <w:p w14:paraId="2DEAF446" w14:textId="1C45D221" w:rsidR="001A6ABE" w:rsidRDefault="001A6ABE" w:rsidP="001A6ABE">
      <w:r>
        <w:rPr>
          <w:noProof/>
        </w:rPr>
        <w:drawing>
          <wp:inline distT="0" distB="0" distL="0" distR="0" wp14:anchorId="541B6104" wp14:editId="3A20ED8B">
            <wp:extent cx="5943600" cy="246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14:paraId="3D9AF8C1" w14:textId="77777777" w:rsidR="001A6ABE" w:rsidRDefault="001A6ABE" w:rsidP="001A6ABE"/>
    <w:p w14:paraId="3D29DAB5" w14:textId="77777777" w:rsidR="001A6ABE" w:rsidRDefault="001A6ABE">
      <w:pPr>
        <w:rPr>
          <w:rFonts w:asciiTheme="majorHAnsi" w:hAnsiTheme="majorHAnsi"/>
          <w:caps/>
          <w:color w:val="2E2E2E" w:themeColor="accent2"/>
          <w:spacing w:val="14"/>
          <w:sz w:val="26"/>
          <w:szCs w:val="26"/>
        </w:rPr>
      </w:pPr>
      <w:r>
        <w:br w:type="page"/>
      </w:r>
    </w:p>
    <w:p w14:paraId="5D5B99DE" w14:textId="4AFF3F3D" w:rsidR="005837ED" w:rsidRDefault="006F43F8" w:rsidP="00040C08">
      <w:pPr>
        <w:pStyle w:val="Heading1"/>
        <w:numPr>
          <w:ilvl w:val="0"/>
          <w:numId w:val="0"/>
        </w:numPr>
      </w:pPr>
      <w:r>
        <w:lastRenderedPageBreak/>
        <w:t>Rural Health Outreach</w:t>
      </w:r>
    </w:p>
    <w:p w14:paraId="07822F0D" w14:textId="5E0326F5" w:rsidR="003A3A6E" w:rsidRDefault="006F43F8" w:rsidP="00040C08">
      <w:pPr>
        <w:ind w:left="0"/>
        <w:jc w:val="both"/>
      </w:pPr>
      <w:r w:rsidRPr="006F43F8">
        <w:t xml:space="preserve">“Community health workers, </w:t>
      </w:r>
      <w:proofErr w:type="spellStart"/>
      <w:r w:rsidRPr="006F43F8">
        <w:t>kynectors</w:t>
      </w:r>
      <w:proofErr w:type="spellEnd"/>
      <w:r w:rsidRPr="006F43F8">
        <w:t xml:space="preserve">, and other job roles are a relatively new addition to the array of public health and government services available to Kentuckians. There is academic evidence that people with local knowledge and cultural credibility are particularly well-positioned to engage with communities and help them access services like </w:t>
      </w:r>
      <w:proofErr w:type="spellStart"/>
      <w:r w:rsidRPr="006F43F8">
        <w:t>kynect</w:t>
      </w:r>
      <w:proofErr w:type="spellEnd"/>
      <w:r w:rsidRPr="006F43F8">
        <w:t xml:space="preserve"> or health department services. There is less known that directly relates to the needs of rural communities and other underserved parts of a state like Kentucky. Could a research team help CHFS quantify the benefits of these roles?”</w:t>
      </w:r>
      <w:r w:rsidR="00B2686B">
        <w:t xml:space="preserve"> </w:t>
      </w:r>
      <w:r w:rsidR="00B2686B" w:rsidRPr="00D378AC">
        <w:rPr>
          <w:color w:val="002060"/>
        </w:rPr>
        <w:t xml:space="preserve">How are CHW and </w:t>
      </w:r>
      <w:proofErr w:type="spellStart"/>
      <w:r w:rsidR="00B2686B" w:rsidRPr="00D378AC">
        <w:rPr>
          <w:color w:val="002060"/>
        </w:rPr>
        <w:t>kynectors</w:t>
      </w:r>
      <w:proofErr w:type="spellEnd"/>
      <w:r w:rsidR="00B2686B" w:rsidRPr="00D378AC">
        <w:rPr>
          <w:color w:val="002060"/>
        </w:rPr>
        <w:t xml:space="preserve"> </w:t>
      </w:r>
      <w:r w:rsidR="00D378AC" w:rsidRPr="00D378AC">
        <w:rPr>
          <w:color w:val="002060"/>
        </w:rPr>
        <w:t xml:space="preserve">teams </w:t>
      </w:r>
      <w:r w:rsidR="00B2686B" w:rsidRPr="00D378AC">
        <w:rPr>
          <w:color w:val="002060"/>
        </w:rPr>
        <w:t xml:space="preserve">organized in </w:t>
      </w:r>
      <w:r w:rsidR="00D378AC" w:rsidRPr="00D378AC">
        <w:rPr>
          <w:color w:val="002060"/>
        </w:rPr>
        <w:t>Kentucky.</w:t>
      </w:r>
    </w:p>
    <w:p w14:paraId="5E38822E" w14:textId="042676CD" w:rsidR="003A3A6E" w:rsidRDefault="00BE2D1A" w:rsidP="00040C08">
      <w:pPr>
        <w:pStyle w:val="Heading1"/>
        <w:numPr>
          <w:ilvl w:val="0"/>
          <w:numId w:val="0"/>
        </w:numPr>
      </w:pPr>
      <w:r>
        <w:t>FQHC/RHC</w:t>
      </w:r>
    </w:p>
    <w:p w14:paraId="30853F0B" w14:textId="5EF9C02E" w:rsidR="009B2C21" w:rsidRDefault="001E387C" w:rsidP="00040C08">
      <w:pPr>
        <w:ind w:left="0"/>
      </w:pPr>
      <w:r w:rsidRPr="001E387C">
        <w:t>Federally Qualified Health Care Centers and Rural Health Clinics are reimbursed differently than other provider types. What is the health status of Medicaid members who are treated by FQHCs and RHCs vs traditional primary care providers? Are FQHC and RCH facilities providing services as outlined in their respective regulations? Are individuals with diabetes better served at an FQHC?</w:t>
      </w:r>
    </w:p>
    <w:p w14:paraId="0F7DBCA4" w14:textId="0439625F" w:rsidR="009B2C21" w:rsidRDefault="009B2C21" w:rsidP="009B2C21"/>
    <w:p w14:paraId="6044A059" w14:textId="43C85D95" w:rsidR="00D73EC3" w:rsidRDefault="00D73EC3" w:rsidP="009B2C21"/>
    <w:p w14:paraId="0D1E69F1" w14:textId="77777777" w:rsidR="004E320C" w:rsidRDefault="004E320C">
      <w:pPr>
        <w:rPr>
          <w:b/>
          <w:bCs/>
          <w:sz w:val="28"/>
          <w:szCs w:val="28"/>
        </w:rPr>
      </w:pPr>
      <w:r>
        <w:rPr>
          <w:b/>
          <w:bCs/>
          <w:sz w:val="28"/>
          <w:szCs w:val="28"/>
        </w:rPr>
        <w:br w:type="page"/>
      </w:r>
    </w:p>
    <w:p w14:paraId="6E3BC1A4" w14:textId="207A410E" w:rsidR="00E34A36" w:rsidRDefault="00E34A36" w:rsidP="00E34A36">
      <w:pPr>
        <w:pStyle w:val="Header"/>
        <w:rPr>
          <w:b/>
          <w:bCs/>
          <w:sz w:val="28"/>
          <w:szCs w:val="28"/>
        </w:rPr>
      </w:pPr>
      <w:r w:rsidRPr="00F5460F">
        <w:rPr>
          <w:b/>
          <w:bCs/>
          <w:sz w:val="28"/>
          <w:szCs w:val="28"/>
        </w:rPr>
        <w:lastRenderedPageBreak/>
        <w:t>References:</w:t>
      </w:r>
    </w:p>
    <w:p w14:paraId="2EE8068D" w14:textId="77777777" w:rsidR="0005330A" w:rsidRPr="0005330A" w:rsidRDefault="00F5460F" w:rsidP="0005330A">
      <w:pPr>
        <w:pStyle w:val="Bibliography"/>
        <w:rPr>
          <w:rFonts w:ascii="Cambria"/>
          <w:color w:val="808080"/>
        </w:rPr>
      </w:pPr>
      <w:r>
        <w:fldChar w:fldCharType="begin"/>
      </w:r>
      <w:r>
        <w:instrText xml:space="preserve"> ADDIN ZOTERO_BIBL {"uncited":[],"omitted":[],"custom":[]} CSL_BIBLIOGRAPHY </w:instrText>
      </w:r>
      <w:r>
        <w:fldChar w:fldCharType="separate"/>
      </w:r>
      <w:r w:rsidR="0005330A" w:rsidRPr="0005330A">
        <w:rPr>
          <w:rFonts w:ascii="Cambria"/>
          <w:color w:val="808080"/>
        </w:rPr>
        <w:t>[1]</w:t>
      </w:r>
      <w:r w:rsidR="0005330A" w:rsidRPr="0005330A">
        <w:rPr>
          <w:rFonts w:ascii="Cambria"/>
          <w:color w:val="808080"/>
        </w:rPr>
        <w:tab/>
        <w:t>“ADV_2021_State_Fact_sheets_Kentucky.pdf.” Accessed: Jul. 05, 2022. [Online]. Available: https://diabetes.org/sites/default/files/2021-10/ADV_2021_State_Fact_sheets_Kentucky.pdf</w:t>
      </w:r>
    </w:p>
    <w:p w14:paraId="16500EC4" w14:textId="77777777" w:rsidR="0005330A" w:rsidRPr="0005330A" w:rsidRDefault="0005330A" w:rsidP="0005330A">
      <w:pPr>
        <w:pStyle w:val="Bibliography"/>
        <w:rPr>
          <w:rFonts w:ascii="Cambria"/>
          <w:color w:val="808080"/>
        </w:rPr>
      </w:pPr>
      <w:r w:rsidRPr="0005330A">
        <w:rPr>
          <w:rFonts w:ascii="Cambria"/>
          <w:color w:val="808080"/>
        </w:rPr>
        <w:t>[2]</w:t>
      </w:r>
      <w:r w:rsidRPr="0005330A">
        <w:rPr>
          <w:rFonts w:ascii="Cambria"/>
          <w:color w:val="808080"/>
        </w:rPr>
        <w:tab/>
        <w:t xml:space="preserve">P. J. Cunningham, “Chronic burdens: the persistently high out-of-pocket health care expenses faced by many Americans with chronic conditions,” </w:t>
      </w:r>
      <w:r w:rsidRPr="0005330A">
        <w:rPr>
          <w:rFonts w:ascii="Cambria"/>
          <w:i/>
          <w:iCs/>
          <w:color w:val="808080"/>
        </w:rPr>
        <w:t xml:space="preserve">Issue Brief </w:t>
      </w:r>
      <w:proofErr w:type="spellStart"/>
      <w:r w:rsidRPr="0005330A">
        <w:rPr>
          <w:rFonts w:ascii="Cambria"/>
          <w:i/>
          <w:iCs/>
          <w:color w:val="808080"/>
        </w:rPr>
        <w:t>Commonw</w:t>
      </w:r>
      <w:proofErr w:type="spellEnd"/>
      <w:r w:rsidRPr="0005330A">
        <w:rPr>
          <w:rFonts w:ascii="Cambria"/>
          <w:i/>
          <w:iCs/>
          <w:color w:val="808080"/>
        </w:rPr>
        <w:t>. Fund</w:t>
      </w:r>
      <w:r w:rsidRPr="0005330A">
        <w:rPr>
          <w:rFonts w:ascii="Cambria"/>
          <w:color w:val="808080"/>
        </w:rPr>
        <w:t>, vol. 63, pp. 1–14, Jul. 2009.</w:t>
      </w:r>
    </w:p>
    <w:p w14:paraId="185329E1" w14:textId="77777777" w:rsidR="0005330A" w:rsidRPr="0005330A" w:rsidRDefault="0005330A" w:rsidP="0005330A">
      <w:pPr>
        <w:pStyle w:val="Bibliography"/>
        <w:rPr>
          <w:rFonts w:ascii="Cambria"/>
          <w:color w:val="808080"/>
        </w:rPr>
      </w:pPr>
      <w:r w:rsidRPr="0005330A">
        <w:rPr>
          <w:rFonts w:ascii="Cambria"/>
          <w:color w:val="808080"/>
        </w:rPr>
        <w:t>[3]</w:t>
      </w:r>
      <w:r w:rsidRPr="0005330A">
        <w:rPr>
          <w:rFonts w:ascii="Cambria"/>
          <w:color w:val="808080"/>
        </w:rPr>
        <w:tab/>
        <w:t xml:space="preserve">M. P. Gallant, “The influence of social support on chronic illness self-management: a review and directions for research,” </w:t>
      </w:r>
      <w:r w:rsidRPr="0005330A">
        <w:rPr>
          <w:rFonts w:ascii="Cambria"/>
          <w:i/>
          <w:iCs/>
          <w:color w:val="808080"/>
        </w:rPr>
        <w:t xml:space="preserve">Health Educ. </w:t>
      </w:r>
      <w:proofErr w:type="spellStart"/>
      <w:r w:rsidRPr="0005330A">
        <w:rPr>
          <w:rFonts w:ascii="Cambria"/>
          <w:i/>
          <w:iCs/>
          <w:color w:val="808080"/>
        </w:rPr>
        <w:t>Behav</w:t>
      </w:r>
      <w:proofErr w:type="spellEnd"/>
      <w:r w:rsidRPr="0005330A">
        <w:rPr>
          <w:rFonts w:ascii="Cambria"/>
          <w:i/>
          <w:iCs/>
          <w:color w:val="808080"/>
        </w:rPr>
        <w:t>. Off. Publ. Soc. Public Health Educ.</w:t>
      </w:r>
      <w:r w:rsidRPr="0005330A">
        <w:rPr>
          <w:rFonts w:ascii="Cambria"/>
          <w:color w:val="808080"/>
        </w:rPr>
        <w:t xml:space="preserve">, vol. 30, no. 2, pp. 170–195, Apr. 2003, </w:t>
      </w:r>
      <w:proofErr w:type="spellStart"/>
      <w:r w:rsidRPr="0005330A">
        <w:rPr>
          <w:rFonts w:ascii="Cambria"/>
          <w:color w:val="808080"/>
        </w:rPr>
        <w:t>doi</w:t>
      </w:r>
      <w:proofErr w:type="spellEnd"/>
      <w:r w:rsidRPr="0005330A">
        <w:rPr>
          <w:rFonts w:ascii="Cambria"/>
          <w:color w:val="808080"/>
        </w:rPr>
        <w:t>: 10.1177/1090198102251030.</w:t>
      </w:r>
    </w:p>
    <w:p w14:paraId="497A6AD0" w14:textId="77777777" w:rsidR="0005330A" w:rsidRPr="0005330A" w:rsidRDefault="0005330A" w:rsidP="0005330A">
      <w:pPr>
        <w:pStyle w:val="Bibliography"/>
        <w:rPr>
          <w:rFonts w:ascii="Cambria"/>
          <w:color w:val="808080"/>
        </w:rPr>
      </w:pPr>
      <w:r w:rsidRPr="0005330A">
        <w:rPr>
          <w:rFonts w:ascii="Cambria"/>
          <w:color w:val="808080"/>
        </w:rPr>
        <w:t>[4]</w:t>
      </w:r>
      <w:r w:rsidRPr="0005330A">
        <w:rPr>
          <w:rFonts w:ascii="Cambria"/>
          <w:color w:val="808080"/>
        </w:rPr>
        <w:tab/>
        <w:t xml:space="preserve">K. </w:t>
      </w:r>
      <w:proofErr w:type="spellStart"/>
      <w:r w:rsidRPr="0005330A">
        <w:rPr>
          <w:rFonts w:ascii="Cambria"/>
          <w:color w:val="808080"/>
        </w:rPr>
        <w:t>Gallacher</w:t>
      </w:r>
      <w:proofErr w:type="spellEnd"/>
      <w:r w:rsidRPr="0005330A">
        <w:rPr>
          <w:rFonts w:ascii="Cambria"/>
          <w:color w:val="808080"/>
        </w:rPr>
        <w:t xml:space="preserve">, C. R. May, V. M. </w:t>
      </w:r>
      <w:proofErr w:type="spellStart"/>
      <w:r w:rsidRPr="0005330A">
        <w:rPr>
          <w:rFonts w:ascii="Cambria"/>
          <w:color w:val="808080"/>
        </w:rPr>
        <w:t>Montori</w:t>
      </w:r>
      <w:proofErr w:type="spellEnd"/>
      <w:r w:rsidRPr="0005330A">
        <w:rPr>
          <w:rFonts w:ascii="Cambria"/>
          <w:color w:val="808080"/>
        </w:rPr>
        <w:t xml:space="preserve">, and F. S. Mair, “Understanding patients’ experiences of treatment burden in chronic heart failure using normalization process theory,” </w:t>
      </w:r>
      <w:r w:rsidRPr="0005330A">
        <w:rPr>
          <w:rFonts w:ascii="Cambria"/>
          <w:i/>
          <w:iCs/>
          <w:color w:val="808080"/>
        </w:rPr>
        <w:t>Ann. Fam. Med.</w:t>
      </w:r>
      <w:r w:rsidRPr="0005330A">
        <w:rPr>
          <w:rFonts w:ascii="Cambria"/>
          <w:color w:val="808080"/>
        </w:rPr>
        <w:t xml:space="preserve">, vol. 9, no. 3, pp. 235–243, Jun. 2011, </w:t>
      </w:r>
      <w:proofErr w:type="spellStart"/>
      <w:r w:rsidRPr="0005330A">
        <w:rPr>
          <w:rFonts w:ascii="Cambria"/>
          <w:color w:val="808080"/>
        </w:rPr>
        <w:t>doi</w:t>
      </w:r>
      <w:proofErr w:type="spellEnd"/>
      <w:r w:rsidRPr="0005330A">
        <w:rPr>
          <w:rFonts w:ascii="Cambria"/>
          <w:color w:val="808080"/>
        </w:rPr>
        <w:t>: 10.1370/afm.1249.</w:t>
      </w:r>
    </w:p>
    <w:p w14:paraId="786091BD" w14:textId="77777777" w:rsidR="0005330A" w:rsidRPr="0005330A" w:rsidRDefault="0005330A" w:rsidP="0005330A">
      <w:pPr>
        <w:pStyle w:val="Bibliography"/>
        <w:rPr>
          <w:rFonts w:ascii="Cambria"/>
          <w:color w:val="808080"/>
        </w:rPr>
      </w:pPr>
      <w:r w:rsidRPr="0005330A">
        <w:rPr>
          <w:rFonts w:ascii="Cambria"/>
          <w:color w:val="808080"/>
        </w:rPr>
        <w:t>[5]</w:t>
      </w:r>
      <w:r w:rsidRPr="0005330A">
        <w:rPr>
          <w:rFonts w:ascii="Cambria"/>
          <w:color w:val="808080"/>
        </w:rPr>
        <w:tab/>
        <w:t xml:space="preserve">A. L. </w:t>
      </w:r>
      <w:proofErr w:type="spellStart"/>
      <w:r w:rsidRPr="0005330A">
        <w:rPr>
          <w:rFonts w:ascii="Cambria"/>
          <w:color w:val="808080"/>
        </w:rPr>
        <w:t>Leppin</w:t>
      </w:r>
      <w:proofErr w:type="spellEnd"/>
      <w:r w:rsidRPr="0005330A">
        <w:rPr>
          <w:rFonts w:ascii="Cambria"/>
          <w:color w:val="808080"/>
        </w:rPr>
        <w:t xml:space="preserve"> </w:t>
      </w:r>
      <w:r w:rsidRPr="0005330A">
        <w:rPr>
          <w:rFonts w:ascii="Cambria"/>
          <w:i/>
          <w:iCs/>
          <w:color w:val="808080"/>
        </w:rPr>
        <w:t>et al.</w:t>
      </w:r>
      <w:r w:rsidRPr="0005330A">
        <w:rPr>
          <w:rFonts w:ascii="Cambria"/>
          <w:color w:val="808080"/>
        </w:rPr>
        <w:t xml:space="preserve">, “Integrating community-based health promotion programs and primary care: a mixed methods analysis of feasibility,” </w:t>
      </w:r>
      <w:r w:rsidRPr="0005330A">
        <w:rPr>
          <w:rFonts w:ascii="Cambria"/>
          <w:i/>
          <w:iCs/>
          <w:color w:val="808080"/>
        </w:rPr>
        <w:t>BMC Health Serv. Res.</w:t>
      </w:r>
      <w:r w:rsidRPr="0005330A">
        <w:rPr>
          <w:rFonts w:ascii="Cambria"/>
          <w:color w:val="808080"/>
        </w:rPr>
        <w:t xml:space="preserve">, vol. 18, no. 1, p. 72, Dec. 2018, </w:t>
      </w:r>
      <w:proofErr w:type="spellStart"/>
      <w:r w:rsidRPr="0005330A">
        <w:rPr>
          <w:rFonts w:ascii="Cambria"/>
          <w:color w:val="808080"/>
        </w:rPr>
        <w:t>doi</w:t>
      </w:r>
      <w:proofErr w:type="spellEnd"/>
      <w:r w:rsidRPr="0005330A">
        <w:rPr>
          <w:rFonts w:ascii="Cambria"/>
          <w:color w:val="808080"/>
        </w:rPr>
        <w:t>: 10.1186/s12913-018-2866-7.</w:t>
      </w:r>
    </w:p>
    <w:p w14:paraId="2BC3FA3F" w14:textId="77777777" w:rsidR="0005330A" w:rsidRPr="0005330A" w:rsidRDefault="0005330A" w:rsidP="0005330A">
      <w:pPr>
        <w:pStyle w:val="Bibliography"/>
        <w:rPr>
          <w:rFonts w:ascii="Cambria"/>
          <w:color w:val="808080"/>
        </w:rPr>
      </w:pPr>
      <w:r w:rsidRPr="0005330A">
        <w:rPr>
          <w:rFonts w:ascii="Cambria"/>
          <w:color w:val="808080"/>
        </w:rPr>
        <w:t>[6]</w:t>
      </w:r>
      <w:r w:rsidRPr="0005330A">
        <w:rPr>
          <w:rFonts w:ascii="Cambria"/>
          <w:color w:val="808080"/>
        </w:rPr>
        <w:tab/>
        <w:t xml:space="preserve">M. </w:t>
      </w:r>
      <w:proofErr w:type="spellStart"/>
      <w:r w:rsidRPr="0005330A">
        <w:rPr>
          <w:rFonts w:ascii="Cambria"/>
          <w:color w:val="808080"/>
        </w:rPr>
        <w:t>Pesec</w:t>
      </w:r>
      <w:proofErr w:type="spellEnd"/>
      <w:r w:rsidRPr="0005330A">
        <w:rPr>
          <w:rFonts w:ascii="Cambria"/>
          <w:color w:val="808080"/>
        </w:rPr>
        <w:t xml:space="preserve">, H. Ratcliffe, and A. </w:t>
      </w:r>
      <w:proofErr w:type="spellStart"/>
      <w:r w:rsidRPr="0005330A">
        <w:rPr>
          <w:rFonts w:ascii="Cambria"/>
          <w:color w:val="808080"/>
        </w:rPr>
        <w:t>Bitton</w:t>
      </w:r>
      <w:proofErr w:type="spellEnd"/>
      <w:r w:rsidRPr="0005330A">
        <w:rPr>
          <w:rFonts w:ascii="Cambria"/>
          <w:color w:val="808080"/>
        </w:rPr>
        <w:t>, “BUILDING A THRIVING PRIMARY HEALTH CARE SYSTEM: THE STORY OF COSTA RICA,” p. 82.</w:t>
      </w:r>
    </w:p>
    <w:p w14:paraId="1863FCA9" w14:textId="77777777" w:rsidR="0005330A" w:rsidRPr="0005330A" w:rsidRDefault="0005330A" w:rsidP="0005330A">
      <w:pPr>
        <w:pStyle w:val="Bibliography"/>
        <w:rPr>
          <w:rFonts w:ascii="Cambria"/>
          <w:color w:val="808080"/>
        </w:rPr>
      </w:pPr>
      <w:r w:rsidRPr="0005330A">
        <w:rPr>
          <w:rFonts w:ascii="Cambria"/>
          <w:color w:val="808080"/>
        </w:rPr>
        <w:t>[7]</w:t>
      </w:r>
      <w:r w:rsidRPr="0005330A">
        <w:rPr>
          <w:rFonts w:ascii="Cambria"/>
          <w:color w:val="808080"/>
        </w:rPr>
        <w:tab/>
        <w:t>“What Does Community-Oriented Primary Health Care Look Like? Lessons from Costa Rica,” Mar. 16, 2021. https://www.commonwealthfund.org/publications/case-study/2021/mar/community-oriented-primary-care-lessons-costa-rica (accessed Apr. 01, 2022).</w:t>
      </w:r>
    </w:p>
    <w:p w14:paraId="4EE09498" w14:textId="77777777" w:rsidR="0005330A" w:rsidRPr="0005330A" w:rsidRDefault="0005330A" w:rsidP="0005330A">
      <w:pPr>
        <w:pStyle w:val="Bibliography"/>
        <w:rPr>
          <w:rFonts w:ascii="Cambria"/>
          <w:color w:val="808080"/>
        </w:rPr>
      </w:pPr>
      <w:r w:rsidRPr="0005330A">
        <w:rPr>
          <w:rFonts w:ascii="Cambria"/>
          <w:color w:val="808080"/>
        </w:rPr>
        <w:t>[8]</w:t>
      </w:r>
      <w:r w:rsidRPr="0005330A">
        <w:rPr>
          <w:rFonts w:ascii="Cambria"/>
          <w:color w:val="808080"/>
        </w:rPr>
        <w:tab/>
        <w:t xml:space="preserve">M. </w:t>
      </w:r>
      <w:proofErr w:type="spellStart"/>
      <w:r w:rsidRPr="0005330A">
        <w:rPr>
          <w:rFonts w:ascii="Cambria"/>
          <w:color w:val="808080"/>
        </w:rPr>
        <w:t>Pesec</w:t>
      </w:r>
      <w:proofErr w:type="spellEnd"/>
      <w:r w:rsidRPr="0005330A">
        <w:rPr>
          <w:rFonts w:ascii="Cambria"/>
          <w:color w:val="808080"/>
        </w:rPr>
        <w:t xml:space="preserve">, H. L. Ratcliffe, A. </w:t>
      </w:r>
      <w:proofErr w:type="spellStart"/>
      <w:r w:rsidRPr="0005330A">
        <w:rPr>
          <w:rFonts w:ascii="Cambria"/>
          <w:color w:val="808080"/>
        </w:rPr>
        <w:t>Karlage</w:t>
      </w:r>
      <w:proofErr w:type="spellEnd"/>
      <w:r w:rsidRPr="0005330A">
        <w:rPr>
          <w:rFonts w:ascii="Cambria"/>
          <w:color w:val="808080"/>
        </w:rPr>
        <w:t xml:space="preserve">, L. R. Hirschhorn, A. Gawande, and A. </w:t>
      </w:r>
      <w:proofErr w:type="spellStart"/>
      <w:r w:rsidRPr="0005330A">
        <w:rPr>
          <w:rFonts w:ascii="Cambria"/>
          <w:color w:val="808080"/>
        </w:rPr>
        <w:t>Bitton</w:t>
      </w:r>
      <w:proofErr w:type="spellEnd"/>
      <w:r w:rsidRPr="0005330A">
        <w:rPr>
          <w:rFonts w:ascii="Cambria"/>
          <w:color w:val="808080"/>
        </w:rPr>
        <w:t xml:space="preserve">, “Primary Health Care That Works: The Costa Rican Experience,” </w:t>
      </w:r>
      <w:r w:rsidRPr="0005330A">
        <w:rPr>
          <w:rFonts w:ascii="Cambria"/>
          <w:i/>
          <w:iCs/>
          <w:color w:val="808080"/>
        </w:rPr>
        <w:t xml:space="preserve">Health </w:t>
      </w:r>
      <w:proofErr w:type="spellStart"/>
      <w:r w:rsidRPr="0005330A">
        <w:rPr>
          <w:rFonts w:ascii="Cambria"/>
          <w:i/>
          <w:iCs/>
          <w:color w:val="808080"/>
        </w:rPr>
        <w:t>Aff</w:t>
      </w:r>
      <w:proofErr w:type="spellEnd"/>
      <w:r w:rsidRPr="0005330A">
        <w:rPr>
          <w:rFonts w:ascii="Cambria"/>
          <w:i/>
          <w:iCs/>
          <w:color w:val="808080"/>
        </w:rPr>
        <w:t>. (Millwood)</w:t>
      </w:r>
      <w:r w:rsidRPr="0005330A">
        <w:rPr>
          <w:rFonts w:ascii="Cambria"/>
          <w:color w:val="808080"/>
        </w:rPr>
        <w:t xml:space="preserve">, vol. 36, no. 3, pp. 531–538, Mar. 2017, </w:t>
      </w:r>
      <w:proofErr w:type="spellStart"/>
      <w:r w:rsidRPr="0005330A">
        <w:rPr>
          <w:rFonts w:ascii="Cambria"/>
          <w:color w:val="808080"/>
        </w:rPr>
        <w:t>doi</w:t>
      </w:r>
      <w:proofErr w:type="spellEnd"/>
      <w:r w:rsidRPr="0005330A">
        <w:rPr>
          <w:rFonts w:ascii="Cambria"/>
          <w:color w:val="808080"/>
        </w:rPr>
        <w:t>: 10.1377/hlthaff.2016.1319.</w:t>
      </w:r>
    </w:p>
    <w:p w14:paraId="18B163B6" w14:textId="77777777" w:rsidR="0005330A" w:rsidRPr="0005330A" w:rsidRDefault="0005330A" w:rsidP="0005330A">
      <w:pPr>
        <w:pStyle w:val="Bibliography"/>
        <w:rPr>
          <w:rFonts w:ascii="Cambria"/>
          <w:color w:val="808080"/>
        </w:rPr>
      </w:pPr>
      <w:r w:rsidRPr="0005330A">
        <w:rPr>
          <w:rFonts w:ascii="Cambria"/>
          <w:color w:val="808080"/>
        </w:rPr>
        <w:t>[9]</w:t>
      </w:r>
      <w:r w:rsidRPr="0005330A">
        <w:rPr>
          <w:rFonts w:ascii="Cambria"/>
          <w:color w:val="808080"/>
        </w:rPr>
        <w:tab/>
        <w:t xml:space="preserve">L. </w:t>
      </w:r>
      <w:proofErr w:type="spellStart"/>
      <w:r w:rsidRPr="0005330A">
        <w:rPr>
          <w:rFonts w:ascii="Cambria"/>
          <w:color w:val="808080"/>
        </w:rPr>
        <w:t>Cuccia</w:t>
      </w:r>
      <w:proofErr w:type="spellEnd"/>
      <w:r w:rsidRPr="0005330A">
        <w:rPr>
          <w:rFonts w:ascii="Cambria"/>
          <w:color w:val="808080"/>
        </w:rPr>
        <w:t xml:space="preserve">, J. Chadwick, A. Kim, R. </w:t>
      </w:r>
      <w:proofErr w:type="spellStart"/>
      <w:r w:rsidRPr="0005330A">
        <w:rPr>
          <w:rFonts w:ascii="Cambria"/>
          <w:color w:val="808080"/>
        </w:rPr>
        <w:t>Sivarajan</w:t>
      </w:r>
      <w:proofErr w:type="spellEnd"/>
      <w:r w:rsidRPr="0005330A">
        <w:rPr>
          <w:rFonts w:ascii="Cambria"/>
          <w:color w:val="808080"/>
        </w:rPr>
        <w:t>, and V. Wong, “Costa Rica’s Health Care Reform: Impact and Success of the EBAIS Model,” p. 12.</w:t>
      </w:r>
    </w:p>
    <w:p w14:paraId="684B0472" w14:textId="77777777" w:rsidR="0005330A" w:rsidRPr="0005330A" w:rsidRDefault="0005330A" w:rsidP="0005330A">
      <w:pPr>
        <w:pStyle w:val="Bibliography"/>
        <w:rPr>
          <w:rFonts w:ascii="Cambria"/>
          <w:color w:val="808080"/>
        </w:rPr>
      </w:pPr>
      <w:r w:rsidRPr="0005330A">
        <w:rPr>
          <w:rFonts w:ascii="Cambria"/>
          <w:color w:val="808080"/>
        </w:rPr>
        <w:t>[10]</w:t>
      </w:r>
      <w:r w:rsidRPr="0005330A">
        <w:rPr>
          <w:rFonts w:ascii="Cambria"/>
          <w:color w:val="808080"/>
        </w:rPr>
        <w:tab/>
        <w:t>T. R. Sullivan, “A Comparison of the United States and Costa Rican Health Care Systems and Their Influence on Immigrant Women’s Maternal and Child Health Outcomes,” p. 33.</w:t>
      </w:r>
    </w:p>
    <w:p w14:paraId="20F6869F" w14:textId="77777777" w:rsidR="0005330A" w:rsidRPr="0005330A" w:rsidRDefault="0005330A" w:rsidP="0005330A">
      <w:pPr>
        <w:pStyle w:val="Bibliography"/>
        <w:rPr>
          <w:rFonts w:ascii="Cambria"/>
          <w:color w:val="808080"/>
        </w:rPr>
      </w:pPr>
      <w:r w:rsidRPr="0005330A">
        <w:rPr>
          <w:rFonts w:ascii="Cambria"/>
          <w:color w:val="808080"/>
        </w:rPr>
        <w:t>[11]</w:t>
      </w:r>
      <w:r w:rsidRPr="0005330A">
        <w:rPr>
          <w:rFonts w:ascii="Cambria"/>
          <w:color w:val="808080"/>
        </w:rPr>
        <w:tab/>
        <w:t xml:space="preserve">“Aging in Place: Growing Older at Home,” </w:t>
      </w:r>
      <w:r w:rsidRPr="0005330A">
        <w:rPr>
          <w:rFonts w:ascii="Cambria"/>
          <w:i/>
          <w:iCs/>
          <w:color w:val="808080"/>
        </w:rPr>
        <w:t>National Institute on Aging</w:t>
      </w:r>
      <w:r w:rsidRPr="0005330A">
        <w:rPr>
          <w:rFonts w:ascii="Cambria"/>
          <w:color w:val="808080"/>
        </w:rPr>
        <w:t>. https://www.nia.nih.gov/health/aging-place-growing-older-home (accessed Jul. 05, 2022).</w:t>
      </w:r>
    </w:p>
    <w:p w14:paraId="2C97493F" w14:textId="77777777" w:rsidR="0005330A" w:rsidRPr="0005330A" w:rsidRDefault="0005330A" w:rsidP="0005330A">
      <w:pPr>
        <w:pStyle w:val="Bibliography"/>
        <w:rPr>
          <w:rFonts w:ascii="Cambria"/>
          <w:color w:val="808080"/>
        </w:rPr>
      </w:pPr>
      <w:r w:rsidRPr="0005330A">
        <w:rPr>
          <w:rFonts w:ascii="Cambria"/>
          <w:color w:val="808080"/>
        </w:rPr>
        <w:t>[12]</w:t>
      </w:r>
      <w:r w:rsidRPr="0005330A">
        <w:rPr>
          <w:rFonts w:ascii="Cambria"/>
          <w:color w:val="808080"/>
        </w:rPr>
        <w:tab/>
        <w:t xml:space="preserve">“Overview of Aging in Place – </w:t>
      </w:r>
      <w:proofErr w:type="spellStart"/>
      <w:r w:rsidRPr="0005330A">
        <w:rPr>
          <w:rFonts w:ascii="Cambria"/>
          <w:color w:val="808080"/>
        </w:rPr>
        <w:t>RHIhub</w:t>
      </w:r>
      <w:proofErr w:type="spellEnd"/>
      <w:r w:rsidRPr="0005330A">
        <w:rPr>
          <w:rFonts w:ascii="Cambria"/>
          <w:color w:val="808080"/>
        </w:rPr>
        <w:t xml:space="preserve"> Aging in Place Toolkit.” https://www.ruralhealthinfo.org/toolkits/aging/1/overview (accessed Jul. 05, 2022).</w:t>
      </w:r>
    </w:p>
    <w:p w14:paraId="42E1B44D" w14:textId="77777777" w:rsidR="0005330A" w:rsidRPr="0005330A" w:rsidRDefault="0005330A" w:rsidP="0005330A">
      <w:pPr>
        <w:pStyle w:val="Bibliography"/>
        <w:rPr>
          <w:rFonts w:ascii="Cambria"/>
          <w:color w:val="808080"/>
        </w:rPr>
      </w:pPr>
      <w:r w:rsidRPr="0005330A">
        <w:rPr>
          <w:rFonts w:ascii="Cambria"/>
          <w:color w:val="808080"/>
        </w:rPr>
        <w:t>[13]</w:t>
      </w:r>
      <w:r w:rsidRPr="0005330A">
        <w:rPr>
          <w:rFonts w:ascii="Cambria"/>
          <w:color w:val="808080"/>
        </w:rPr>
        <w:tab/>
        <w:t xml:space="preserve">D. D. Inman, K. M. van </w:t>
      </w:r>
      <w:proofErr w:type="spellStart"/>
      <w:r w:rsidRPr="0005330A">
        <w:rPr>
          <w:rFonts w:ascii="Cambria"/>
          <w:color w:val="808080"/>
        </w:rPr>
        <w:t>Bakergem</w:t>
      </w:r>
      <w:proofErr w:type="spellEnd"/>
      <w:r w:rsidRPr="0005330A">
        <w:rPr>
          <w:rFonts w:ascii="Cambria"/>
          <w:color w:val="808080"/>
        </w:rPr>
        <w:t xml:space="preserve">, A. C. LaRosa, and D. R. Garr, “Evidence-Based Health Promotion Programs for Schools and Communities,” </w:t>
      </w:r>
      <w:r w:rsidRPr="0005330A">
        <w:rPr>
          <w:rFonts w:ascii="Cambria"/>
          <w:i/>
          <w:iCs/>
          <w:color w:val="808080"/>
        </w:rPr>
        <w:t>Am. J. Prev. Med.</w:t>
      </w:r>
      <w:r w:rsidRPr="0005330A">
        <w:rPr>
          <w:rFonts w:ascii="Cambria"/>
          <w:color w:val="808080"/>
        </w:rPr>
        <w:t xml:space="preserve">, vol. 40, no. 2, pp. 207–219, Feb. 2011, </w:t>
      </w:r>
      <w:proofErr w:type="spellStart"/>
      <w:r w:rsidRPr="0005330A">
        <w:rPr>
          <w:rFonts w:ascii="Cambria"/>
          <w:color w:val="808080"/>
        </w:rPr>
        <w:t>doi</w:t>
      </w:r>
      <w:proofErr w:type="spellEnd"/>
      <w:r w:rsidRPr="0005330A">
        <w:rPr>
          <w:rFonts w:ascii="Cambria"/>
          <w:color w:val="808080"/>
        </w:rPr>
        <w:t>: 10.1016/j.amepre.2010.10.031.</w:t>
      </w:r>
    </w:p>
    <w:p w14:paraId="6967586E" w14:textId="589EB8E1" w:rsidR="00F5460F" w:rsidRPr="00F5460F" w:rsidRDefault="00F5460F" w:rsidP="00F5460F">
      <w:r>
        <w:fldChar w:fldCharType="end"/>
      </w:r>
    </w:p>
    <w:sectPr w:rsidR="00F5460F" w:rsidRPr="00F5460F" w:rsidSect="002C1347">
      <w:footerReference w:type="default" r:id="rId8"/>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A6B0" w14:textId="77777777" w:rsidR="00B36DF4" w:rsidRDefault="00B36DF4">
      <w:pPr>
        <w:spacing w:after="0" w:line="240" w:lineRule="auto"/>
      </w:pPr>
      <w:r>
        <w:separator/>
      </w:r>
    </w:p>
    <w:p w14:paraId="3B7E8D8C" w14:textId="77777777" w:rsidR="00B36DF4" w:rsidRDefault="00B36DF4"/>
  </w:endnote>
  <w:endnote w:type="continuationSeparator" w:id="0">
    <w:p w14:paraId="5211ECB3" w14:textId="77777777" w:rsidR="00B36DF4" w:rsidRDefault="00B36DF4">
      <w:pPr>
        <w:spacing w:after="0" w:line="240" w:lineRule="auto"/>
      </w:pPr>
      <w:r>
        <w:continuationSeparator/>
      </w:r>
    </w:p>
    <w:p w14:paraId="14B27A1B" w14:textId="77777777" w:rsidR="00B36DF4" w:rsidRDefault="00B36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419C" w14:textId="77777777" w:rsidR="00087329" w:rsidRDefault="00631CB2">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4BAD" w14:textId="77777777" w:rsidR="00B36DF4" w:rsidRDefault="00B36DF4">
      <w:pPr>
        <w:spacing w:after="0" w:line="240" w:lineRule="auto"/>
      </w:pPr>
      <w:r>
        <w:separator/>
      </w:r>
    </w:p>
    <w:p w14:paraId="4D501F03" w14:textId="77777777" w:rsidR="00B36DF4" w:rsidRDefault="00B36DF4"/>
  </w:footnote>
  <w:footnote w:type="continuationSeparator" w:id="0">
    <w:p w14:paraId="6526A2F9" w14:textId="77777777" w:rsidR="00B36DF4" w:rsidRDefault="00B36DF4">
      <w:pPr>
        <w:spacing w:after="0" w:line="240" w:lineRule="auto"/>
      </w:pPr>
      <w:r>
        <w:continuationSeparator/>
      </w:r>
    </w:p>
    <w:p w14:paraId="16472677" w14:textId="77777777" w:rsidR="00B36DF4" w:rsidRDefault="00B36D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27D8CE12"/>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decimal"/>
      <w:pStyle w:val="Heading3"/>
      <w:lvlText w:val="%3."/>
      <w:lvlJc w:val="left"/>
      <w:pPr>
        <w:ind w:left="1080" w:hanging="360"/>
      </w:p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04971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2C"/>
    <w:rsid w:val="000135B5"/>
    <w:rsid w:val="00022792"/>
    <w:rsid w:val="00040C08"/>
    <w:rsid w:val="0005330A"/>
    <w:rsid w:val="00087329"/>
    <w:rsid w:val="000A39D6"/>
    <w:rsid w:val="00144AB1"/>
    <w:rsid w:val="00164E28"/>
    <w:rsid w:val="00177A6D"/>
    <w:rsid w:val="00186C88"/>
    <w:rsid w:val="001A6ABE"/>
    <w:rsid w:val="001A775C"/>
    <w:rsid w:val="001C77F7"/>
    <w:rsid w:val="001E387C"/>
    <w:rsid w:val="002230D7"/>
    <w:rsid w:val="00232B1C"/>
    <w:rsid w:val="00246619"/>
    <w:rsid w:val="002713BB"/>
    <w:rsid w:val="00294EBD"/>
    <w:rsid w:val="00296A23"/>
    <w:rsid w:val="002B105D"/>
    <w:rsid w:val="002B29C9"/>
    <w:rsid w:val="002C1347"/>
    <w:rsid w:val="0034281B"/>
    <w:rsid w:val="00360187"/>
    <w:rsid w:val="00362DB0"/>
    <w:rsid w:val="00377691"/>
    <w:rsid w:val="00380C2E"/>
    <w:rsid w:val="00384920"/>
    <w:rsid w:val="0038792C"/>
    <w:rsid w:val="00395E92"/>
    <w:rsid w:val="003A3660"/>
    <w:rsid w:val="003A3A6E"/>
    <w:rsid w:val="003E2C22"/>
    <w:rsid w:val="00403464"/>
    <w:rsid w:val="00412C49"/>
    <w:rsid w:val="00454AC0"/>
    <w:rsid w:val="00470D32"/>
    <w:rsid w:val="00477AB1"/>
    <w:rsid w:val="0048567C"/>
    <w:rsid w:val="004B0557"/>
    <w:rsid w:val="004D7B29"/>
    <w:rsid w:val="004E320C"/>
    <w:rsid w:val="005459FA"/>
    <w:rsid w:val="00556EC3"/>
    <w:rsid w:val="005837ED"/>
    <w:rsid w:val="005927A9"/>
    <w:rsid w:val="005A37E0"/>
    <w:rsid w:val="005C3F9C"/>
    <w:rsid w:val="005F5667"/>
    <w:rsid w:val="00612BD3"/>
    <w:rsid w:val="0062239D"/>
    <w:rsid w:val="00631CB2"/>
    <w:rsid w:val="00646E8D"/>
    <w:rsid w:val="00661CB1"/>
    <w:rsid w:val="006752DE"/>
    <w:rsid w:val="00675A69"/>
    <w:rsid w:val="00680959"/>
    <w:rsid w:val="006D1733"/>
    <w:rsid w:val="006F43F8"/>
    <w:rsid w:val="006F4602"/>
    <w:rsid w:val="00700259"/>
    <w:rsid w:val="00717BC7"/>
    <w:rsid w:val="00720617"/>
    <w:rsid w:val="007879CA"/>
    <w:rsid w:val="007A6DBB"/>
    <w:rsid w:val="007C5A9C"/>
    <w:rsid w:val="007F1759"/>
    <w:rsid w:val="00815C57"/>
    <w:rsid w:val="008232C2"/>
    <w:rsid w:val="00847701"/>
    <w:rsid w:val="00854B90"/>
    <w:rsid w:val="00881E45"/>
    <w:rsid w:val="00883135"/>
    <w:rsid w:val="00884462"/>
    <w:rsid w:val="0088668F"/>
    <w:rsid w:val="008D16FC"/>
    <w:rsid w:val="00900763"/>
    <w:rsid w:val="00906FA3"/>
    <w:rsid w:val="009126A9"/>
    <w:rsid w:val="009554F5"/>
    <w:rsid w:val="009B2C21"/>
    <w:rsid w:val="009C6E7A"/>
    <w:rsid w:val="00A06C21"/>
    <w:rsid w:val="00AA4784"/>
    <w:rsid w:val="00AA6320"/>
    <w:rsid w:val="00AA7082"/>
    <w:rsid w:val="00AF286F"/>
    <w:rsid w:val="00B0346D"/>
    <w:rsid w:val="00B149BC"/>
    <w:rsid w:val="00B21F68"/>
    <w:rsid w:val="00B2686B"/>
    <w:rsid w:val="00B303D3"/>
    <w:rsid w:val="00B36DF4"/>
    <w:rsid w:val="00B55F8B"/>
    <w:rsid w:val="00B93C71"/>
    <w:rsid w:val="00B96021"/>
    <w:rsid w:val="00BA11F5"/>
    <w:rsid w:val="00BA4F79"/>
    <w:rsid w:val="00BE2D1A"/>
    <w:rsid w:val="00BF1291"/>
    <w:rsid w:val="00C01A83"/>
    <w:rsid w:val="00C044CE"/>
    <w:rsid w:val="00C32717"/>
    <w:rsid w:val="00C520B8"/>
    <w:rsid w:val="00C8152C"/>
    <w:rsid w:val="00CA5FCE"/>
    <w:rsid w:val="00CB3B73"/>
    <w:rsid w:val="00CD07E7"/>
    <w:rsid w:val="00CE25E2"/>
    <w:rsid w:val="00CE5AB7"/>
    <w:rsid w:val="00CF0CA5"/>
    <w:rsid w:val="00CF235C"/>
    <w:rsid w:val="00D05DED"/>
    <w:rsid w:val="00D11011"/>
    <w:rsid w:val="00D33D5B"/>
    <w:rsid w:val="00D37133"/>
    <w:rsid w:val="00D378AC"/>
    <w:rsid w:val="00D53605"/>
    <w:rsid w:val="00D73EC3"/>
    <w:rsid w:val="00D95B0B"/>
    <w:rsid w:val="00DA1A0A"/>
    <w:rsid w:val="00DA2965"/>
    <w:rsid w:val="00DD36A0"/>
    <w:rsid w:val="00DD68C9"/>
    <w:rsid w:val="00DE2407"/>
    <w:rsid w:val="00E07EAB"/>
    <w:rsid w:val="00E10C79"/>
    <w:rsid w:val="00E239F1"/>
    <w:rsid w:val="00E25C9B"/>
    <w:rsid w:val="00E30305"/>
    <w:rsid w:val="00E31728"/>
    <w:rsid w:val="00E31E8E"/>
    <w:rsid w:val="00E34A36"/>
    <w:rsid w:val="00E57942"/>
    <w:rsid w:val="00E57E29"/>
    <w:rsid w:val="00E70273"/>
    <w:rsid w:val="00E877FF"/>
    <w:rsid w:val="00E9206A"/>
    <w:rsid w:val="00E97604"/>
    <w:rsid w:val="00EA3866"/>
    <w:rsid w:val="00EB7AB6"/>
    <w:rsid w:val="00F100B0"/>
    <w:rsid w:val="00F26BEF"/>
    <w:rsid w:val="00F434AB"/>
    <w:rsid w:val="00F5460F"/>
    <w:rsid w:val="00FB1120"/>
    <w:rsid w:val="00FE3C7D"/>
    <w:rsid w:val="00FF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F93"/>
  <w15:chartTrackingRefBased/>
  <w15:docId w15:val="{8E66678F-E2C6-F24D-9EC9-B20622F3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CD07E7"/>
    <w:pPr>
      <w:ind w:left="720"/>
      <w:contextualSpacing/>
    </w:pPr>
  </w:style>
  <w:style w:type="paragraph" w:styleId="Bibliography">
    <w:name w:val="Bibliography"/>
    <w:basedOn w:val="Normal"/>
    <w:next w:val="Normal"/>
    <w:uiPriority w:val="37"/>
    <w:unhideWhenUsed/>
    <w:rsid w:val="00F5460F"/>
    <w:pPr>
      <w:tabs>
        <w:tab w:val="left" w:pos="380"/>
      </w:tabs>
      <w:spacing w:after="0" w:line="240" w:lineRule="auto"/>
      <w:ind w:left="384" w:hanging="384"/>
    </w:pPr>
  </w:style>
  <w:style w:type="paragraph" w:styleId="NormalWeb">
    <w:name w:val="Normal (Web)"/>
    <w:basedOn w:val="Normal"/>
    <w:uiPriority w:val="99"/>
    <w:semiHidden/>
    <w:unhideWhenUsed/>
    <w:rsid w:val="00BE2D1A"/>
    <w:pPr>
      <w:spacing w:before="100" w:beforeAutospacing="1" w:after="100" w:afterAutospacing="1" w:line="240" w:lineRule="auto"/>
      <w:ind w:left="0"/>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6520">
      <w:bodyDiv w:val="1"/>
      <w:marLeft w:val="0"/>
      <w:marRight w:val="0"/>
      <w:marTop w:val="0"/>
      <w:marBottom w:val="0"/>
      <w:divBdr>
        <w:top w:val="none" w:sz="0" w:space="0" w:color="auto"/>
        <w:left w:val="none" w:sz="0" w:space="0" w:color="auto"/>
        <w:bottom w:val="none" w:sz="0" w:space="0" w:color="auto"/>
        <w:right w:val="none" w:sz="0" w:space="0" w:color="auto"/>
      </w:divBdr>
      <w:divsChild>
        <w:div w:id="1933392059">
          <w:marLeft w:val="0"/>
          <w:marRight w:val="0"/>
          <w:marTop w:val="0"/>
          <w:marBottom w:val="0"/>
          <w:divBdr>
            <w:top w:val="none" w:sz="0" w:space="0" w:color="auto"/>
            <w:left w:val="none" w:sz="0" w:space="0" w:color="auto"/>
            <w:bottom w:val="none" w:sz="0" w:space="0" w:color="auto"/>
            <w:right w:val="none" w:sz="0" w:space="0" w:color="auto"/>
          </w:divBdr>
          <w:divsChild>
            <w:div w:id="1218318313">
              <w:marLeft w:val="0"/>
              <w:marRight w:val="0"/>
              <w:marTop w:val="0"/>
              <w:marBottom w:val="0"/>
              <w:divBdr>
                <w:top w:val="none" w:sz="0" w:space="0" w:color="auto"/>
                <w:left w:val="none" w:sz="0" w:space="0" w:color="auto"/>
                <w:bottom w:val="none" w:sz="0" w:space="0" w:color="auto"/>
                <w:right w:val="none" w:sz="0" w:space="0" w:color="auto"/>
              </w:divBdr>
              <w:divsChild>
                <w:div w:id="1872495468">
                  <w:marLeft w:val="0"/>
                  <w:marRight w:val="0"/>
                  <w:marTop w:val="0"/>
                  <w:marBottom w:val="0"/>
                  <w:divBdr>
                    <w:top w:val="none" w:sz="0" w:space="0" w:color="auto"/>
                    <w:left w:val="none" w:sz="0" w:space="0" w:color="auto"/>
                    <w:bottom w:val="none" w:sz="0" w:space="0" w:color="auto"/>
                    <w:right w:val="none" w:sz="0" w:space="0" w:color="auto"/>
                  </w:divBdr>
                  <w:divsChild>
                    <w:div w:id="17065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goldsby/Library/Containers/com.microsoft.Word/Data/Library/Application%20Support/Microsoft/Office/16.0/DTS/en-US%7bB88A3A26-883E-1C45-9802-E150400CC056%7d/%7b3F103ECE-8A90-1842-AA34-F01AE66E4C4D%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{3F103ECE-8A90-1842-AA34-F01AE66E4C4D}tf10002082.dotx</Template>
  <TotalTime>292</TotalTime>
  <Pages>4</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2022-06-30T22:40:00Z</dcterms:created>
  <dcterms:modified xsi:type="dcterms:W3CDTF">2022-07-07T19:40:00Z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ZOTERO_PREF_1">
    <vt:lpwstr>&lt;data data-version="3" zotero-version="6.0.9"&gt;&lt;session id="Wpjj1XBc"/&gt;&lt;style id="http://www.zotero.org/styles/ieee"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