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9AFF" w14:textId="7B6F9ED8" w:rsidR="00BB1FF3" w:rsidRPr="00BB1FF3" w:rsidRDefault="00BB1FF3" w:rsidP="00E14D0B">
      <w:pPr>
        <w:pStyle w:val="Heading1"/>
        <w:spacing w:after="240"/>
        <w:rPr>
          <w:b/>
          <w:bCs/>
          <w:color w:val="000000" w:themeColor="text1"/>
        </w:rPr>
      </w:pPr>
      <w:r w:rsidRPr="00BB1FF3">
        <w:rPr>
          <w:b/>
          <w:bCs/>
          <w:color w:val="000000" w:themeColor="text1"/>
        </w:rPr>
        <w:t xml:space="preserve">The </w:t>
      </w:r>
      <w:r w:rsidRPr="00BB1FF3">
        <w:rPr>
          <w:b/>
          <w:bCs/>
          <w:color w:val="000000" w:themeColor="text1"/>
        </w:rPr>
        <w:t xml:space="preserve">systemic </w:t>
      </w:r>
      <w:r w:rsidRPr="00BB1FF3">
        <w:rPr>
          <w:b/>
          <w:bCs/>
          <w:color w:val="000000" w:themeColor="text1"/>
        </w:rPr>
        <w:t xml:space="preserve">biological </w:t>
      </w:r>
      <w:r w:rsidRPr="00BB1FF3">
        <w:rPr>
          <w:b/>
          <w:bCs/>
          <w:color w:val="000000" w:themeColor="text1"/>
        </w:rPr>
        <w:t>effects of sound</w:t>
      </w:r>
      <w:r w:rsidRPr="00BB1FF3">
        <w:rPr>
          <w:b/>
          <w:bCs/>
          <w:color w:val="000000" w:themeColor="text1"/>
        </w:rPr>
        <w:t xml:space="preserve"> &amp; their potential application </w:t>
      </w:r>
      <w:r w:rsidRPr="00BB1FF3">
        <w:rPr>
          <w:b/>
          <w:bCs/>
          <w:color w:val="000000" w:themeColor="text1"/>
        </w:rPr>
        <w:t xml:space="preserve">for early screening and treatment </w:t>
      </w:r>
      <w:r>
        <w:rPr>
          <w:b/>
          <w:bCs/>
          <w:color w:val="000000" w:themeColor="text1"/>
        </w:rPr>
        <w:t>modalities for</w:t>
      </w:r>
      <w:r w:rsidRPr="00BB1FF3">
        <w:rPr>
          <w:b/>
          <w:bCs/>
          <w:color w:val="000000" w:themeColor="text1"/>
        </w:rPr>
        <w:t xml:space="preserve"> systemic conditions</w:t>
      </w:r>
      <w:r w:rsidRPr="00BB1FF3">
        <w:rPr>
          <w:b/>
          <w:bCs/>
          <w:color w:val="000000" w:themeColor="text1"/>
        </w:rPr>
        <w:t>.</w:t>
      </w:r>
    </w:p>
    <w:p w14:paraId="27F8C71E" w14:textId="21EAC6A7" w:rsidR="00222CF4" w:rsidRDefault="0068294A" w:rsidP="006F17DD">
      <w:pPr>
        <w:pStyle w:val="Heading2"/>
        <w:spacing w:after="60"/>
      </w:pPr>
      <w:r>
        <w:t>Introduction</w:t>
      </w:r>
    </w:p>
    <w:p w14:paraId="2ED4B763" w14:textId="77777777" w:rsidR="00372926" w:rsidRDefault="00C44497" w:rsidP="00C91304">
      <w:pPr>
        <w:spacing w:after="120"/>
        <w:jc w:val="both"/>
      </w:pPr>
      <w:r w:rsidRPr="00C44497">
        <w:t xml:space="preserve">The </w:t>
      </w:r>
      <w:r w:rsidR="003950D8">
        <w:t xml:space="preserve">observable effects of sound on human conditions </w:t>
      </w:r>
      <w:r w:rsidR="00D57579">
        <w:fldChar w:fldCharType="begin"/>
      </w:r>
      <w:r w:rsidR="00D57579">
        <w:instrText xml:space="preserve"> ADDIN ZOTERO_ITEM CSL_CITATION {"citationID":"hDeHwP7n","properties":{"formattedCitation":"[1]","plainCitation":"[1]","noteIndex":0},"citationItems":[{"id":12596,"uris":["http://zotero.org/groups/2464358/items/P34DTGPM"],"itemData":{"id":12596,"type":"article-journal","abstract":"Poor mood and elevated anxiety are linked to increased incidence of disease. This study examined the effects of sound meditation, specifically Tibetan singing bowl meditation, on mood, anxiety, pain, and spiritual well-being. Sixty-two women and men (mean age 49.7 years) participated. As compared with pre-meditation, following the sound meditation participants reported significantly less tension, anger, fatigue, and depressed mood (all Ps &lt;.001). Additionally, participants who were previously naïve to this type of meditation experienced a significantly greater reduction in tension compared with participants experienced in this meditation (P &lt; .001). Feeling of spiritual well-being significantly increased across all participants (P &lt; .001). Tibetan singing bowl meditation may be a feasible low-cost low technology intervention for reducing feelings of tension, anxiety, and depression, and increasing spiritual well-being. This meditation type may be especially useful in decreasing tension in individuals who have not previously practiced this form of meditation.","container-title":"Journal of Evidence-Based Complementary &amp; Alternative Medicine","DOI":"10.1177/2156587216668109","ISSN":"2156-5899","journalAbbreviation":"J Evid Based Complementary Altern Med","language":"eng","note":"PMID: 27694559\nPMCID: PMC5871151","source":"PubMed","title":"Effects of Singing Bowl Sound Meditation on Mood, Tension, and Well-being: An Observational Study","title-short":"Effects of Singing Bowl Sound Meditation on Mood, Tension, and Well-being","author":[{"family":"Goldsby","given":"Tamara L."},{"family":"Goldsby","given":"Michael E."},{"family":"McWalters","given":"Mary"},{"family":"Mills","given":"Paul J."}],"issued":{"date-parts":[["2016",9,30]]}}}],"schema":"https://github.com/citation-style-language/schema/raw/master/csl-citation.json"} </w:instrText>
      </w:r>
      <w:r w:rsidR="00D57579">
        <w:fldChar w:fldCharType="separate"/>
      </w:r>
      <w:r w:rsidR="00D57579">
        <w:rPr>
          <w:noProof/>
        </w:rPr>
        <w:t>[1]</w:t>
      </w:r>
      <w:r w:rsidR="00D57579">
        <w:fldChar w:fldCharType="end"/>
      </w:r>
      <w:r w:rsidR="003950D8">
        <w:t xml:space="preserve"> and plant biology </w:t>
      </w:r>
      <w:r w:rsidR="00BB1FF3">
        <w:fldChar w:fldCharType="begin"/>
      </w:r>
      <w:r w:rsidR="00BB1FF3">
        <w:instrText xml:space="preserve"> ADDIN ZOTERO_ITEM CSL_CITATION {"citationID":"9qLOvwtg","properties":{"formattedCitation":"[2]\\uc0\\u8211{}[5]","plainCitation":"[2]–[5]","noteIndex":0},"citationItems":[{"id":14633,"uris":["http://zotero.org/groups/2464358/items/KU6BNJC8"],"itemData":{"id":14633,"type":"article-journal","abstract":"Sound waves technology has been applied to different plants. It has been found that sound waves were at different frequencies, sound pressure levels (SPLs), exposure periods, and distances from the source of sound influence plant growth. Experiments have been conducted in the open field and under greenhouse growing conditions with different levels of audible sound frequencies and sound pressure levels. Sound waves at 1 kHz and 100 dB for 1 h within a distance of 0.20 m could significantly promote the division and cell wall fluidity of callus cells and also significantly enhance the activity of protective enzymes and endogenous hormones. Sound waves stimulation could increase the plant plasma-membrane H+-ATPase activity, the contents of soluble sugar, soluble protein, and amylase activity of callus. Moreover, sound waves could increase the content of RNA and the level of transcription. Stress-induced genes could switch on under sound stimulation. Sound waves at 0.1-1 kHz and SPL of (70±5) dB for 3 h from plant acoustic frequency technology (PAFT) generator within a distance ranged from 30 to 60 m every other day significantly increased the yield of sweet pepper, cucumber and tomato by 30.05, 37.1 and 13.2%, respectively. Furthermore, the yield of lettuce, spinach, cotton, rice, and wheat were increased by 19.6, 22.7, 11.4, 5.7, and 17.0%, respectively. Sound waves may also strengthen plant immune systems. It has been proved that spider mite, aphids, gray mold, late blight and virus disease of tomatoes in the greenhouses decreased by 6.0, 8.0, 9.0, 11.0, and 8.0%, respectively, and the sheath blight of rice was reduced by 50%. This paper provides an overview of literature for the effects of sound waves on various growth parameters of plant at different growth stages.","container-title":"Journal of Integrative Agriculture","DOI":"10.1016/S2095-3119(13)60492-X","ISSN":"20953119","issue":"2","journalAbbreviation":"Journal of Integrative Agriculture","language":"en","page":"335-348","source":"DOI.org (Crossref)","title":"Advances in Effects of Sound Waves on Plants","volume":"13","author":[{"family":"Hassanien","given":"Reda HE"},{"family":"Hou","given":"Tian-zhen"},{"family":"Li","given":"Yu-feng"},{"family":"Li","given":"Bao-ming"}],"issued":{"date-parts":[["2014",2]]}},"label":"page"},{"id":14653,"uris":["http://zotero.org/groups/2464358/items/IW7HHPBR"],"itemData":{"id":14653,"type":"article-journal","abstract":"Plants exposed to harmonically modulated irradiance, Ϸ1 ϩ cos(␻t), exhibit a complex periodic pattern of chlorophyll fluorescence emission that can be deconvoluted into a steady-state component, a component that is modulated with the frequency of the irradiance (␻), and into at least two upper harmonic components (2␻ and 3␻). A model is proposed that accounts for the upper harmonics in fluorescence emission by nonlinear negative feedback regulation of photosynthesis. In contrast to simpler linear models, the model predicts that the steady-state fluorescence component will depend on the frequency of light modulation, and that amplitudes of all fluorescence components will exhibit resonance peak(s) when the irradiance frequency is tuned to an internal frequency of a regulatory component. The experiments confirmed that the upper harmonic components appear and exhibit distinct resonant peaks. The frequency of autonomous oscillations observed earlier upon an abrupt increase in CO2 concentration corresponds to the sharpest of the resonant peaks of the forced oscillations. We propose that the underlying principles are general for a wide spectrum of negative-feedback regulatory mechanisms. The analysis by forced harmonic oscillations will enable us to examine internal dynamics of regulatory processes that have not been accessible to noninvasive fluorescence monitoring to date.","container-title":"Biophysical Journal","DOI":"10.1016/S0006-3495(02)73978-7","ISSN":"00063495","issue":"4","journalAbbreviation":"Biophysical Journal","language":"en","page":"2180-2189","source":"DOI.org (Crossref)","title":"Complex Metabolic Oscillations in Plants Forced by Harmonic Irradiance","volume":"83","author":[{"family":"Nedbal","given":"Ladislav"},{"family":"Březina","given":"Vítězslav"}],"issued":{"date-parts":[["2002",10]]}},"label":"page"},{"id":14648,"uris":["http://zotero.org/groups/2464358/items/IGKMGXCD"],"itemData":{"id":14648,"type":"article-journal","abstract":"Microbes, as one of the primary producers of the biosphere, play an important role in ecosystems. Exploring the mechanism of adaptation and resistance of microbial population to various environmental factors has come into focus in the fields of modern microbial ecology and molecular ecology. However, facing the increasingly serious problem of acoustic pollution, very few efforts have been put forth into studying the relation of single cell organisms and sound field exposure. Herein, we studied the biological effects of sound exposure on the growth of E. coli K-12 with different acoustic parameters. The effects of sound exposure on the intracellular macromolecular synthesis and cellular morphology of E. coli K-12 were also analyzed and discussed. Experimental results indicated that E. coli K-12 exposed to sound waves owned a higher biomass and a faster specific growth rate compared to the control group. Also, the average length of E. coli K-12 cells increased more than 27.26%. The maximum biomass and maximum specific growth rate of the stimulation group by 8000 Hz, 80dB sound wave was about 1.7 times and 2.5 times that of the control group, respectively. Moreover, it was observed that E. coli K-12 can respond rapidly to sound stress at both the transcriptional and posttranscriptional levels by promoting the synthesis of intracellular RNA and total protein. Some potential mechanisms may be involved in the responses of bacterial cells to sound stress.","container-title":"PeerJ","DOI":"10.7717/peerj.1920","ISSN":"2167-8359","language":"en","page":"e1920","source":"DOI.org (Crossref)","title":"Effects of sound exposure on the growth and intracellular macromolecular synthesis of &lt;i&gt;E. coli&lt;/i&gt; k-12","volume":"4","author":[{"family":"Gu","given":"Shaobin"},{"family":"Zhang","given":"Yongzhu"},{"family":"Wu","given":"Ying"}],"issued":{"date-parts":[["2016",4,7]]}},"label":"page"},{"id":14658,"uris":["http://zotero.org/groups/2464358/items/SDUYEDSM"],"itemData":{"id":14658,"type":"article-journal","abstract":"We present a three-dimensional morphoelastic rod model capable to describe the morphogenesis of growing plant shoots driven by differential growth. We discuss the evolution laws for endogenous oscillators, straightening mechanisms, and reorientations to directional cues, such as gravitropic reactions governed by the avalanche dynamics of statoliths. We use this model to investigate the role of elastic deflections due to gravity loading in circumnutating plant shoots. We show that, in the absence of endogenous cues, pendular and circular oscillations arise as a critical length is attained, thus suggesting the occurrence of an instability triggered by exogenous factors. When also oscillations due to endogenous cues are present, their weight relative to those associated with the instability varies in time as the shoot length and other biomechanical properties change. Thanks to the simultaneous occurrence of these two oscillatory mechanisms, we are able to reproduce a variety of complex behaviors, including trochoid-like patterns, which evolve into circular orbits as the shoot length increases, and the amplitude of the exogenous oscillations becomes dominant.","container-title":"Frontiers in Plant Science","ISSN":"1664-462X","source":"Frontiers","title":"Nutations in Plant Shoots: Endogenous and Exogenous Factors in the Presence of Mechanical Deformations","title-short":"Nutations in Plant Shoots","URL":"https://www.frontiersin.org/articles/10.3389/fpls.2021.608005","volume":"12","author":[{"family":"Agostinelli","given":"Daniele"},{"family":"DeSimone","given":"Antonio"},{"family":"Noselli","given":"Giovanni"}],"accessed":{"date-parts":[["2022",9,16]]},"issued":{"date-parts":[["2021"]]}},"label":"page"}],"schema":"https://github.com/citation-style-language/schema/raw/master/csl-citation.json"} </w:instrText>
      </w:r>
      <w:r w:rsidR="00BB1FF3">
        <w:fldChar w:fldCharType="separate"/>
      </w:r>
      <w:r w:rsidR="00BB1FF3" w:rsidRPr="00BB1FF3">
        <w:rPr>
          <w:rFonts w:ascii="Calibri" w:cs="Calibri"/>
        </w:rPr>
        <w:t>[2]–[5]</w:t>
      </w:r>
      <w:r w:rsidR="00BB1FF3">
        <w:fldChar w:fldCharType="end"/>
      </w:r>
      <w:r w:rsidR="000B4DDC">
        <w:t xml:space="preserve"> </w:t>
      </w:r>
      <w:r w:rsidR="003950D8">
        <w:t xml:space="preserve">are well established in the literature. </w:t>
      </w:r>
      <w:r w:rsidR="00061630">
        <w:rPr>
          <w:rStyle w:val="res9jf"/>
        </w:rPr>
        <w:t>L</w:t>
      </w:r>
      <w:r w:rsidR="00061630">
        <w:rPr>
          <w:rStyle w:val="res9jf"/>
        </w:rPr>
        <w:t>inguistic</w:t>
      </w:r>
      <w:r w:rsidR="00061630">
        <w:t xml:space="preserve"> </w:t>
      </w:r>
      <w:r w:rsidR="003950D8">
        <w:t xml:space="preserve">sound </w:t>
      </w:r>
      <w:r w:rsidR="0068294A">
        <w:t xml:space="preserve">composition </w:t>
      </w:r>
      <w:r w:rsidR="003950D8">
        <w:t xml:space="preserve">has been used as a diagnostic tool to provide early screening for hearing loss </w:t>
      </w:r>
      <w:r w:rsidR="00D57579">
        <w:t>(R)</w:t>
      </w:r>
      <w:r w:rsidR="00061630">
        <w:t xml:space="preserve"> in addition to ultrasound</w:t>
      </w:r>
      <w:r w:rsidR="003950D8">
        <w:t xml:space="preserve">. </w:t>
      </w:r>
      <w:r w:rsidR="005D4F9F">
        <w:t xml:space="preserve">Early “Sonogenetics” research show that at least two mechanosensitive proteins act in parallel to generate </w:t>
      </w:r>
      <w:r w:rsidR="005D4F9F">
        <w:rPr>
          <w:rStyle w:val="Emphasis"/>
        </w:rPr>
        <w:t>C. elegans</w:t>
      </w:r>
      <w:r w:rsidR="005D4F9F">
        <w:t xml:space="preserve"> behavioral responses to ultrasound stimuli </w:t>
      </w:r>
      <w:r w:rsidR="005D4F9F">
        <w:fldChar w:fldCharType="begin"/>
      </w:r>
      <w:r w:rsidR="00BB1FF3">
        <w:instrText xml:space="preserve"> ADDIN ZOTERO_ITEM CSL_CITATION {"citationID":"6j41ClLl","properties":{"formattedCitation":"[6]","plainCitation":"[6]","noteIndex":0},"citationItems":[{"id":15997,"uris":["http://zotero.org/groups/2464358/items/5MCW6KQ9"],"itemData":{"id":15997,"type":"article","abstract":"Ultrasound has been shown to affect the function of both neurons and non-neuronal cells. However, the underlying molecular machinery has been poorly understood. Here, we show that at least two mechanosensitive proteins act in parallel to generate C. elegans behavioral responses to ultrasound stimuli. We first show that these animals generate reversals in response to a single 10 msec pulse from a 2.25 MHz ultrasound transducer. Next, we show that the pore-forming subunit of the mechanosensitive channel TRP-4, and a DEG/ENaC/ASIC ion channel MEC-4, are both required for this ultrasound-evoked reversal response. Further, the trp-4 mec-4 double mutant shows a stronger behavioral deficit compared to either single mutant. Finally, overexpressing TRP-4 in specific chemosensory neurons can rescue the ultrasound-triggered behavioral deficit in the mec-4 null mutant, suggesting that these two pathways act in parallel. Together, we demonstrate that multiple mechanosensitive proteins likely cooperate to transform ultrasound stimuli into behavioral changes.","DOI":"10.1101/2021.10.29.466533","language":"en","license":"© 2021, Posted by Cold Spring Harbor Laboratory. The copyright holder for this pre-print is the author. All rights reserved. The material may not be redistributed, re-used or adapted without the author's permission.","note":"page: 2021.10.29.466533\nsection: New Results","publisher":"bioRxiv","source":"bioRxiv","title":"Two parallel pathways are required for ultrasound-evoked behavioral changes in Caenorhabditis elegans","URL":"https://www.biorxiv.org/content/10.1101/2021.10.29.466533v1","author":[{"family":"Magaram","given":"Uri"},{"family":"Weiss","given":"Connor"},{"family":"Vasan","given":"Aditya"},{"family":"Reddy","given":"Kirthi C."},{"family":"Friend","given":"James"},{"family":"Chalasani","given":"Sreekanth H."}],"accessed":{"date-parts":[["2023",1,18]]},"issued":{"date-parts":[["2021",11,2]]}}}],"schema":"https://github.com/citation-style-language/schema/raw/master/csl-citation.json"} </w:instrText>
      </w:r>
      <w:r w:rsidR="005D4F9F">
        <w:fldChar w:fldCharType="separate"/>
      </w:r>
      <w:r w:rsidR="00BB1FF3">
        <w:rPr>
          <w:noProof/>
        </w:rPr>
        <w:t>[6]</w:t>
      </w:r>
      <w:r w:rsidR="005D4F9F">
        <w:fldChar w:fldCharType="end"/>
      </w:r>
      <w:r w:rsidR="005D4F9F">
        <w:t>.</w:t>
      </w:r>
      <w:r w:rsidR="005D4F9F">
        <w:t xml:space="preserve"> </w:t>
      </w:r>
      <w:r w:rsidR="00B833E3">
        <w:t>S</w:t>
      </w:r>
      <w:r w:rsidR="00277089">
        <w:t>a</w:t>
      </w:r>
      <w:r w:rsidR="00B833E3">
        <w:t xml:space="preserve">lk Institute and others researchers have </w:t>
      </w:r>
      <w:r w:rsidR="00B833E3">
        <w:t xml:space="preserve">suggest that </w:t>
      </w:r>
      <w:r w:rsidR="00B833E3">
        <w:t xml:space="preserve">ultrasound can be used to control </w:t>
      </w:r>
      <w:r w:rsidR="00B833E3">
        <w:t>mammalian cells</w:t>
      </w:r>
      <w:r w:rsidR="00B833E3">
        <w:t xml:space="preserve"> </w:t>
      </w:r>
      <w:r w:rsidR="00B833E3">
        <w:fldChar w:fldCharType="begin"/>
      </w:r>
      <w:r w:rsidR="00B833E3">
        <w:instrText xml:space="preserve"> ADDIN ZOTERO_ITEM CSL_CITATION {"citationID":"Sgn2XEiy","properties":{"formattedCitation":"[7], [8]","plainCitation":"[7], [8]","noteIndex":0},"citationItems":[{"id":15999,"uris":["http://zotero.org/groups/2464358/items/JF9IRUDZ"],"itemData":{"id":15999,"type":"article-journal","abstract":"Ultrasound has been used to non-invasively manipulate neuronal functions in humans and other animals. However, this approach is limited as it has been challenging to target specific cells within the brain or body. Here, we identify human Transient Receptor Potential A1 (hsTRPA1) as a candidate that confers ultrasound sensitivity to mammalian cells. Ultrasound-evoked gating of hsTRPA1 specifically requires its N-terminal tip region and cholesterol interactions; and target cells with an intact actin cytoskeleton, revealing elements of the sonogenetic mechanism. Next, we use calcium imaging and electrophysiology to show that hsTRPA1 potentiates ultrasound-evoked responses in primary neurons. Furthermore, unilateral expression of hsTRPA1 in mouse layer V motor cortical neurons leads to c-fos expression and contralateral limb responses in response to ultrasound delivered through an intact skull. Collectively, we demonstrate that hsTRPA1-based sonogenetics can effectively manipulate neurons within the intact mammalian brain, a method that could be used across species.","container-title":"Nature Communications","DOI":"10.1038/s41467-022-28205-y","ISSN":"2041-1723","issue":"1","journalAbbreviation":"Nat Commun","language":"en","license":"2022 The Author(s)","note":"number: 1\npublisher: Nature Publishing Group","page":"600","source":"www.nature.com","title":"Sonogenetic control of mammalian cells using exogenous Transient Receptor Potential A1 channels","volume":"13","author":[{"family":"Duque","given":"Marc"},{"family":"Lee-Kubli","given":"Corinne A."},{"family":"Tufail","given":"Yusuf"},{"family":"Magaram","given":"Uri"},{"family":"Patel","given":"Janki"},{"family":"Chakraborty","given":"Ahana"},{"family":"Mendoza Lopez","given":"Jose"},{"family":"Edsinger","given":"Eric"},{"family":"Vasan","given":"Aditya"},{"family":"Shiao","given":"Rani"},{"family":"Weiss","given":"Connor"},{"family":"Friend","given":"James"},{"family":"Chalasani","given":"Sreekanth H."}],"issued":{"date-parts":[["2022",2,9]]}},"label":"page"},{"id":15995,"uris":["http://zotero.org/groups/2464358/items/45CD8MU3"],"itemData":{"id":15995,"type":"article-journal","abstract":"Ultrasound has been used to manipulate cells in both humans and animal models. While intramembrane cavitation and lipid clustering have been suggested as likely mechanisms, they lack experimental evidence. Here, high-speed digital holographic microscopy (kiloHertz order) is used to visualize the cellular membrane dynamics. It is shown that neuronal and fibroblast membranes deflect about 150 nm upon ultrasound stimulation. Next, a biomechanical model that predicts changes in membrane voltage after ultrasound exposure is developed. Finally, the model predictions are validated using whole-cell patch clamp electrophysiology on primary neurons. Collectively, it is shown that ultrasound stimulation directly defects the neuronal membrane leading to a change in membrane voltage and subsequent depolarization. The model is consistent with existing data and provides a mechanism for both ultrasound-evoked neurostimulation and sonogenetic control.","container-title":"Advanced Science","DOI":"10.1002/advs.202101950","ISSN":"2198-3844","issue":"2","language":"en","note":"_eprint: https://onlinelibrary.wiley.com/doi/pdf/10.1002/advs.202101950","page":"2101950","source":"Wiley Online Library","title":"Ultrasound Mediated Cellular Deflection Results in Cellular Depolarization","volume":"9","author":[{"family":"Vasan","given":"Aditya"},{"family":"Orosco","given":"Jeremy"},{"family":"Magaram","given":"Uri"},{"family":"Duque","given":"Marc"},{"family":"Weiss","given":"Connor"},{"family":"Tufail","given":"Yusuf"},{"family":"Chalasani","given":"Sreekanth H"},{"family":"Friend","given":"James"}],"issued":{"date-parts":[["2022"]]}},"label":"page"}],"schema":"https://github.com/citation-style-language/schema/raw/master/csl-citation.json"} </w:instrText>
      </w:r>
      <w:r w:rsidR="00B833E3">
        <w:fldChar w:fldCharType="separate"/>
      </w:r>
      <w:r w:rsidR="00B833E3">
        <w:rPr>
          <w:noProof/>
        </w:rPr>
        <w:t>[7], [8]</w:t>
      </w:r>
      <w:r w:rsidR="00B833E3">
        <w:fldChar w:fldCharType="end"/>
      </w:r>
      <w:r w:rsidR="00B833E3">
        <w:t xml:space="preserve">. </w:t>
      </w:r>
    </w:p>
    <w:p w14:paraId="669B51CD" w14:textId="66699585" w:rsidR="00372926" w:rsidRDefault="005D1358" w:rsidP="00C91304">
      <w:pPr>
        <w:spacing w:after="120"/>
        <w:jc w:val="both"/>
      </w:pPr>
      <w:r>
        <w:t>Discuss the sound work on neurological disorders AD specifically and their temporary effects on AD</w:t>
      </w:r>
    </w:p>
    <w:p w14:paraId="42D8F146" w14:textId="3B9166B7" w:rsidR="005D1358" w:rsidRDefault="005D1358" w:rsidP="00C91304">
      <w:pPr>
        <w:spacing w:after="120"/>
        <w:jc w:val="both"/>
      </w:pPr>
      <w:r>
        <w:t xml:space="preserve">Discuss the paper findings on AD CLD and systemic and AD is a systemic disease </w:t>
      </w:r>
      <w:r>
        <w:fldChar w:fldCharType="begin"/>
      </w:r>
      <w:r>
        <w:instrText xml:space="preserve"> ADDIN ZOTERO_ITEM CSL_CITATION {"citationID":"e126saDB","properties":{"formattedCitation":"[9]","plainCitation":"[9]","noteIndex":0},"citationItems":[{"id":15992,"uris":["http://zotero.org/groups/2464358/items/YESRFBUU"],"itemData":{"id":15992,"type":"article-journal","abstract":"Although Alzheimer's disease (AD) is the most common neurodegenerative disease, the etiology of AD is not well understood. In some cases, genetic factors explain AD risk, but a high percentage of late-onset AD is unexplained. The fact that AD is associated with a number of physical and systemic manifestations suggests that AD is a multifactorial disease that affects both the CNS and periphery. Interestingly, a common feature of many systemic processes linked to AD is involvement in energy metabolism. The goals of this review are to 1) explore the evidence that peripheral processes contribute to AD risk, 2) explore ways that AD modulates whole-body changes, and 3) discuss the role of genetics, mitochondria, and vascular mechanisms as underlying factors that could mediate both central and peripheral manifestations of AD. Despite efforts to strictly define AD as a homogeneous CNS disease, there may be no single etiologic pathway leading to the syndrome of AD dementia. Rather, the neurodegenerative process may involve some degree of baseline genetic risk that is modified by external risk factors. Continued research into the diverse but related processes linked to AD risk is necessary for successful development of disease-modifying therapies.","container-title":"Biochimica Et Biophysica Acta","DOI":"10.1016/j.bbadis.2014.04.012","ISSN":"0006-3002","issue":"9","journalAbbreviation":"Biochim Biophys Acta","language":"eng","note":"PMID: 24747741\nPMCID: PMC4126236","page":"1340-1349","source":"PubMed","title":"Is Alzheimer's disease a systemic disease?","volume":"1842","author":[{"family":"Morris","given":"Jill K."},{"family":"Honea","given":"Robyn A."},{"family":"Vidoni","given":"Eric D."},{"family":"Swerdlow","given":"Russell H."},{"family":"Burns","given":"Jeffrey M."}],"issued":{"date-parts":[["2014",9]]}}}],"schema":"https://github.com/citation-style-language/schema/raw/master/csl-citation.json"} </w:instrText>
      </w:r>
      <w:r>
        <w:fldChar w:fldCharType="separate"/>
      </w:r>
      <w:r>
        <w:rPr>
          <w:noProof/>
        </w:rPr>
        <w:t>[9]</w:t>
      </w:r>
      <w:r>
        <w:fldChar w:fldCharType="end"/>
      </w:r>
    </w:p>
    <w:p w14:paraId="14BDC8BD" w14:textId="541E50B9" w:rsidR="00372926" w:rsidRDefault="00100849" w:rsidP="00C91304">
      <w:pPr>
        <w:spacing w:after="120"/>
        <w:jc w:val="both"/>
      </w:pPr>
      <w:r>
        <w:t xml:space="preserve">However, little work has been done to truly understand </w:t>
      </w:r>
      <w:r w:rsidR="00507D07">
        <w:t>how interpreting the systemic effects of sound, on biological system, can be used for early screening and treatment of systemic conditions such as late-onset Alzheimer’s Disease (AD).</w:t>
      </w:r>
    </w:p>
    <w:p w14:paraId="494F3A9E" w14:textId="52B21433" w:rsidR="005D4F9F" w:rsidRDefault="00B833E3" w:rsidP="00C91304">
      <w:pPr>
        <w:spacing w:after="120"/>
        <w:jc w:val="both"/>
      </w:pPr>
      <w:r>
        <w:t>Early work is needed to guide other research</w:t>
      </w:r>
      <w:r w:rsidR="0084162E">
        <w:t>ers</w:t>
      </w:r>
      <w:r>
        <w:t xml:space="preserve"> to </w:t>
      </w:r>
      <w:r w:rsidR="00E14D0B">
        <w:t>ensure</w:t>
      </w:r>
      <w:r>
        <w:t xml:space="preserve"> </w:t>
      </w:r>
      <w:r w:rsidR="0084162E">
        <w:t xml:space="preserve">system dynamic are considered when studying </w:t>
      </w:r>
      <w:r w:rsidR="0084162E">
        <w:t>biological pathway</w:t>
      </w:r>
      <w:r w:rsidR="0084162E">
        <w:t>s</w:t>
      </w:r>
      <w:r>
        <w:t xml:space="preserve">. </w:t>
      </w:r>
    </w:p>
    <w:p w14:paraId="61374F9F" w14:textId="65EBE778" w:rsidR="00100849" w:rsidRDefault="00100849" w:rsidP="00C91304">
      <w:pPr>
        <w:spacing w:after="120"/>
        <w:jc w:val="both"/>
      </w:pPr>
    </w:p>
    <w:p w14:paraId="261BC1EF" w14:textId="2012F77F" w:rsidR="005D1358" w:rsidRDefault="005D1358" w:rsidP="00C91304">
      <w:pPr>
        <w:spacing w:after="120"/>
        <w:jc w:val="both"/>
      </w:pPr>
      <w:r>
        <w:t xml:space="preserve">Longitudinal simulation validated with observational progression data </w:t>
      </w:r>
    </w:p>
    <w:p w14:paraId="1BDF7082" w14:textId="77777777" w:rsidR="005D1358" w:rsidRDefault="005D1358" w:rsidP="00C91304">
      <w:pPr>
        <w:spacing w:after="120"/>
        <w:jc w:val="both"/>
      </w:pPr>
    </w:p>
    <w:p w14:paraId="7645F06E" w14:textId="2B7EC011" w:rsidR="00C44497" w:rsidRDefault="00660B34" w:rsidP="00C91304">
      <w:pPr>
        <w:spacing w:after="120"/>
        <w:jc w:val="both"/>
      </w:pPr>
      <w:r>
        <w:t xml:space="preserve">However, many other confounding factors play an important role in </w:t>
      </w:r>
      <w:r w:rsidR="0005091F">
        <w:t xml:space="preserve">the </w:t>
      </w:r>
      <w:r>
        <w:t>adopt</w:t>
      </w:r>
      <w:r w:rsidR="0005091F">
        <w:t>ion</w:t>
      </w:r>
      <w:r>
        <w:t xml:space="preserve"> </w:t>
      </w:r>
      <w:r w:rsidR="0005091F">
        <w:t>of health</w:t>
      </w:r>
      <w:r w:rsidR="003A072B">
        <w:t>y</w:t>
      </w:r>
      <w:r w:rsidR="0005091F">
        <w:t xml:space="preserve"> </w:t>
      </w:r>
      <w:r>
        <w:t>food</w:t>
      </w:r>
      <w:r w:rsidR="0005091F">
        <w:t xml:space="preserve">s to </w:t>
      </w:r>
      <w:r>
        <w:t xml:space="preserve">prevent </w:t>
      </w:r>
      <w:r w:rsidR="0005091F">
        <w:t>disease</w:t>
      </w:r>
      <w:r>
        <w:t xml:space="preserve">. </w:t>
      </w:r>
      <w:r w:rsidR="003A072B">
        <w:t xml:space="preserve">Community engagement and </w:t>
      </w:r>
      <w:r w:rsidR="001305E0">
        <w:t>cultural influence</w:t>
      </w:r>
      <w:r w:rsidR="003A072B">
        <w:t xml:space="preserve"> are critical factors in the sustainability of healthy dietary patterns. Food </w:t>
      </w:r>
      <w:r w:rsidR="001305E0">
        <w:t xml:space="preserve">macronutrients and micronutrients can </w:t>
      </w:r>
      <w:r w:rsidR="003A072B">
        <w:t xml:space="preserve">also play an important role in treatment of disease, in some cases even reversing the harmful effects that led to the development of the disease. </w:t>
      </w:r>
      <w:r w:rsidR="001305E0">
        <w:t>However, systemic complexity of system dynamics when developing strategies for healthy community-based food systems can be overwhelming in terms of complexity.</w:t>
      </w:r>
    </w:p>
    <w:p w14:paraId="6AE48601" w14:textId="41981CE9" w:rsidR="001305E0" w:rsidRDefault="001305E0" w:rsidP="00C91304">
      <w:pPr>
        <w:spacing w:after="120"/>
        <w:jc w:val="both"/>
      </w:pPr>
      <w:r>
        <w:t>The current study intends to address this complexity by developing an integrated modeling framework. The purpose of this framework is to use it to identify both population &amp; individual level interventions, and then composition of a wholistic strategy that can be deployed and managed in a sustainable fashion by its beneficiaries.</w:t>
      </w:r>
      <w:r w:rsidR="006E4E9F">
        <w:t xml:space="preserve"> To accomplish this, the </w:t>
      </w:r>
      <w:r w:rsidR="00EA503A">
        <w:t>effort will be divided into 3 sub-</w:t>
      </w:r>
      <w:r w:rsidR="006E4E9F">
        <w:t>project</w:t>
      </w:r>
      <w:r w:rsidR="00EA503A">
        <w:t>s each with individual aims &amp; objectives to measure progress and adapt future work</w:t>
      </w:r>
      <w:r w:rsidR="006E4E9F">
        <w:t xml:space="preserve">. </w:t>
      </w:r>
      <w:r w:rsidR="008F7B3A">
        <w:t xml:space="preserve">In the first and foundation project, we plan to develop an integrated region/culturally specific whole food/agriculture database in combination with a mobile application. The application will be used to engage citizen scientist in sharing and curating healthy receipts that others can discover based on variables associated with an individual health profile. </w:t>
      </w:r>
      <w:r w:rsidR="00BF68B4">
        <w:t>The benefit of this work lies in the development of a unique integration of system dynamic modeling techniques that facilitate the medical value of food micronutrients and composition of individualized recommendations. Application use will further drive both research and the refinement of algorithms to discover better individualized dietary pattern fits to further support engagement.</w:t>
      </w:r>
    </w:p>
    <w:p w14:paraId="45A69EDB" w14:textId="51389EF5" w:rsidR="00D90215" w:rsidRDefault="00D90215" w:rsidP="0078753B">
      <w:pPr>
        <w:spacing w:after="120"/>
        <w:jc w:val="both"/>
      </w:pPr>
    </w:p>
    <w:sectPr w:rsidR="00D90215" w:rsidSect="00887094">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9C2"/>
    <w:multiLevelType w:val="hybridMultilevel"/>
    <w:tmpl w:val="A3769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C253D5"/>
    <w:multiLevelType w:val="hybridMultilevel"/>
    <w:tmpl w:val="197C27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3620132">
    <w:abstractNumId w:val="0"/>
  </w:num>
  <w:num w:numId="2" w16cid:durableId="2107843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8E"/>
    <w:rsid w:val="0002507C"/>
    <w:rsid w:val="0005091F"/>
    <w:rsid w:val="00057037"/>
    <w:rsid w:val="00061630"/>
    <w:rsid w:val="00084A03"/>
    <w:rsid w:val="000B4DDC"/>
    <w:rsid w:val="00100849"/>
    <w:rsid w:val="001305E0"/>
    <w:rsid w:val="0014410A"/>
    <w:rsid w:val="0015079E"/>
    <w:rsid w:val="0015629A"/>
    <w:rsid w:val="00167059"/>
    <w:rsid w:val="00186E22"/>
    <w:rsid w:val="001B6BAE"/>
    <w:rsid w:val="001C751D"/>
    <w:rsid w:val="00222CF4"/>
    <w:rsid w:val="00251746"/>
    <w:rsid w:val="00272294"/>
    <w:rsid w:val="00277089"/>
    <w:rsid w:val="002A0838"/>
    <w:rsid w:val="00372926"/>
    <w:rsid w:val="003950D8"/>
    <w:rsid w:val="003A072B"/>
    <w:rsid w:val="00435CC3"/>
    <w:rsid w:val="00435DC3"/>
    <w:rsid w:val="00480D8E"/>
    <w:rsid w:val="004A6EE7"/>
    <w:rsid w:val="00507D07"/>
    <w:rsid w:val="00537CD9"/>
    <w:rsid w:val="005C3E06"/>
    <w:rsid w:val="005D1358"/>
    <w:rsid w:val="005D4F9F"/>
    <w:rsid w:val="00634989"/>
    <w:rsid w:val="00651545"/>
    <w:rsid w:val="00660B34"/>
    <w:rsid w:val="00676F4C"/>
    <w:rsid w:val="0068294A"/>
    <w:rsid w:val="006970E9"/>
    <w:rsid w:val="006D346B"/>
    <w:rsid w:val="006D34A1"/>
    <w:rsid w:val="006E4E9F"/>
    <w:rsid w:val="006F0A2D"/>
    <w:rsid w:val="006F17DD"/>
    <w:rsid w:val="006F79A6"/>
    <w:rsid w:val="00717C3E"/>
    <w:rsid w:val="00732B75"/>
    <w:rsid w:val="0078753B"/>
    <w:rsid w:val="007B13C3"/>
    <w:rsid w:val="007B52A1"/>
    <w:rsid w:val="007C2252"/>
    <w:rsid w:val="0084162E"/>
    <w:rsid w:val="00855083"/>
    <w:rsid w:val="00877731"/>
    <w:rsid w:val="008834B2"/>
    <w:rsid w:val="00887094"/>
    <w:rsid w:val="00890D21"/>
    <w:rsid w:val="0089532C"/>
    <w:rsid w:val="008F7B3A"/>
    <w:rsid w:val="009255E2"/>
    <w:rsid w:val="00953384"/>
    <w:rsid w:val="0095426F"/>
    <w:rsid w:val="00954A4F"/>
    <w:rsid w:val="00967E6C"/>
    <w:rsid w:val="009A45A6"/>
    <w:rsid w:val="00A97BDC"/>
    <w:rsid w:val="00AA17BB"/>
    <w:rsid w:val="00AD321A"/>
    <w:rsid w:val="00B75F17"/>
    <w:rsid w:val="00B833E3"/>
    <w:rsid w:val="00B9541D"/>
    <w:rsid w:val="00BB1FF3"/>
    <w:rsid w:val="00BF68B4"/>
    <w:rsid w:val="00C44497"/>
    <w:rsid w:val="00C8002D"/>
    <w:rsid w:val="00C91304"/>
    <w:rsid w:val="00CB5F00"/>
    <w:rsid w:val="00CD4828"/>
    <w:rsid w:val="00CF61E8"/>
    <w:rsid w:val="00CF6B19"/>
    <w:rsid w:val="00D244CB"/>
    <w:rsid w:val="00D25C87"/>
    <w:rsid w:val="00D30FFC"/>
    <w:rsid w:val="00D57579"/>
    <w:rsid w:val="00D61D5A"/>
    <w:rsid w:val="00D74561"/>
    <w:rsid w:val="00D90215"/>
    <w:rsid w:val="00DC382C"/>
    <w:rsid w:val="00DC5E27"/>
    <w:rsid w:val="00DE5E25"/>
    <w:rsid w:val="00E076D1"/>
    <w:rsid w:val="00E14D0B"/>
    <w:rsid w:val="00E402E0"/>
    <w:rsid w:val="00E761E3"/>
    <w:rsid w:val="00E76D8A"/>
    <w:rsid w:val="00EA503A"/>
    <w:rsid w:val="00EB542A"/>
    <w:rsid w:val="00ED7AA6"/>
    <w:rsid w:val="00EE7B49"/>
    <w:rsid w:val="00F34CC2"/>
    <w:rsid w:val="00F46EF7"/>
    <w:rsid w:val="00F523DF"/>
    <w:rsid w:val="00FF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AC291"/>
  <w15:chartTrackingRefBased/>
  <w15:docId w15:val="{3A37C92B-D518-3A40-BF64-DF31F4DB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D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B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7BD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51545"/>
    <w:pPr>
      <w:spacing w:after="200"/>
    </w:pPr>
    <w:rPr>
      <w:i/>
      <w:iCs/>
      <w:color w:val="44546A" w:themeColor="text2"/>
      <w:sz w:val="18"/>
      <w:szCs w:val="18"/>
    </w:rPr>
  </w:style>
  <w:style w:type="paragraph" w:styleId="ListParagraph">
    <w:name w:val="List Paragraph"/>
    <w:basedOn w:val="Normal"/>
    <w:uiPriority w:val="34"/>
    <w:qFormat/>
    <w:rsid w:val="00D74561"/>
    <w:pPr>
      <w:ind w:left="720"/>
      <w:contextualSpacing/>
    </w:pPr>
  </w:style>
  <w:style w:type="character" w:styleId="Hyperlink">
    <w:name w:val="Hyperlink"/>
    <w:basedOn w:val="DefaultParagraphFont"/>
    <w:uiPriority w:val="99"/>
    <w:unhideWhenUsed/>
    <w:rsid w:val="0095426F"/>
    <w:rPr>
      <w:color w:val="0563C1" w:themeColor="hyperlink"/>
      <w:u w:val="single"/>
    </w:rPr>
  </w:style>
  <w:style w:type="character" w:styleId="UnresolvedMention">
    <w:name w:val="Unresolved Mention"/>
    <w:basedOn w:val="DefaultParagraphFont"/>
    <w:uiPriority w:val="99"/>
    <w:semiHidden/>
    <w:unhideWhenUsed/>
    <w:rsid w:val="0095426F"/>
    <w:rPr>
      <w:color w:val="605E5C"/>
      <w:shd w:val="clear" w:color="auto" w:fill="E1DFDD"/>
    </w:rPr>
  </w:style>
  <w:style w:type="paragraph" w:styleId="Revision">
    <w:name w:val="Revision"/>
    <w:hidden/>
    <w:uiPriority w:val="99"/>
    <w:semiHidden/>
    <w:rsid w:val="005C3E06"/>
  </w:style>
  <w:style w:type="character" w:styleId="FollowedHyperlink">
    <w:name w:val="FollowedHyperlink"/>
    <w:basedOn w:val="DefaultParagraphFont"/>
    <w:uiPriority w:val="99"/>
    <w:semiHidden/>
    <w:unhideWhenUsed/>
    <w:rsid w:val="0078753B"/>
    <w:rPr>
      <w:color w:val="954F72" w:themeColor="followedHyperlink"/>
      <w:u w:val="single"/>
    </w:rPr>
  </w:style>
  <w:style w:type="paragraph" w:styleId="Bibliography">
    <w:name w:val="Bibliography"/>
    <w:basedOn w:val="Normal"/>
    <w:next w:val="Normal"/>
    <w:uiPriority w:val="37"/>
    <w:unhideWhenUsed/>
    <w:rsid w:val="00D90215"/>
    <w:pPr>
      <w:tabs>
        <w:tab w:val="left" w:pos="380"/>
      </w:tabs>
      <w:ind w:left="384" w:hanging="384"/>
    </w:pPr>
  </w:style>
  <w:style w:type="character" w:styleId="Emphasis">
    <w:name w:val="Emphasis"/>
    <w:basedOn w:val="DefaultParagraphFont"/>
    <w:uiPriority w:val="20"/>
    <w:qFormat/>
    <w:rsid w:val="005D4F9F"/>
    <w:rPr>
      <w:i/>
      <w:iCs/>
    </w:rPr>
  </w:style>
  <w:style w:type="paragraph" w:styleId="Title">
    <w:name w:val="Title"/>
    <w:basedOn w:val="Normal"/>
    <w:next w:val="Normal"/>
    <w:link w:val="TitleChar"/>
    <w:uiPriority w:val="10"/>
    <w:qFormat/>
    <w:rsid w:val="00BB1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F3"/>
    <w:rPr>
      <w:rFonts w:asciiTheme="majorHAnsi" w:eastAsiaTheme="majorEastAsia" w:hAnsiTheme="majorHAnsi" w:cstheme="majorBidi"/>
      <w:spacing w:val="-10"/>
      <w:kern w:val="28"/>
      <w:sz w:val="56"/>
      <w:szCs w:val="56"/>
    </w:rPr>
  </w:style>
  <w:style w:type="character" w:customStyle="1" w:styleId="res9jf">
    <w:name w:val="res9jf"/>
    <w:basedOn w:val="DefaultParagraphFont"/>
    <w:rsid w:val="00061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50514">
      <w:bodyDiv w:val="1"/>
      <w:marLeft w:val="0"/>
      <w:marRight w:val="0"/>
      <w:marTop w:val="0"/>
      <w:marBottom w:val="0"/>
      <w:divBdr>
        <w:top w:val="none" w:sz="0" w:space="0" w:color="auto"/>
        <w:left w:val="none" w:sz="0" w:space="0" w:color="auto"/>
        <w:bottom w:val="none" w:sz="0" w:space="0" w:color="auto"/>
        <w:right w:val="none" w:sz="0" w:space="0" w:color="auto"/>
      </w:divBdr>
    </w:div>
    <w:div w:id="13569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2023-01-18T18:51:00Z</cp:lastPrinted>
  <dcterms:created xsi:type="dcterms:W3CDTF">2023-01-17T23:45:00Z</dcterms:created>
  <dcterms:modified xsi:type="dcterms:W3CDTF">2023-01-18T21:04:00Z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id="h20ZZRHq"/&gt;&lt;style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