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AULA 16</w:t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Transhumanismo e Filosofia da Tecnologia</w:t>
      </w:r>
    </w:p>
    <w:p w:rsidR="00000000" w:rsidDel="00000000" w:rsidP="00000000" w:rsidRDefault="00000000" w:rsidRPr="00000000" w14:paraId="00000003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Cada número um dropdown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004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sdt>
        <w:sdtPr>
          <w:id w:val="1144184188"/>
          <w:tag w:val="goog_rdk_0"/>
        </w:sdtPr>
        <w:sdtContent>
          <w:commentRangeStart w:id="0"/>
        </w:sdtContent>
      </w:sdt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1. O que é o Transhumanismo?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Movimento filosófico, científico e cultural que defende o uso intensivo da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biotecnologia, nanotecnologia, inteligência artificial, neurociência e cibernética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superar as limitações biológicas humanas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Objetivo: ampliar capacidades físicas, cognitivas e emocionais, prolongar a vida ou até alcançar a imortalidade.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Lema comum: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32"/>
          <w:szCs w:val="32"/>
          <w:rtl w:val="0"/>
        </w:rPr>
        <w:t xml:space="preserve">“melhorar o humano através da técnica”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2. Relação com a Filosofia da Tecnologia</w:t>
      </w:r>
    </w:p>
    <w:p w:rsidR="00000000" w:rsidDel="00000000" w:rsidP="00000000" w:rsidRDefault="00000000" w:rsidRPr="00000000" w14:paraId="0000000A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A Filosofia da Tecnologia entra para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problematizar o transhumanismo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, levantando questões críticas:</w:t>
      </w:r>
    </w:p>
    <w:p w:rsidR="00000000" w:rsidDel="00000000" w:rsidP="00000000" w:rsidRDefault="00000000" w:rsidRPr="00000000" w14:paraId="0000000B">
      <w:pPr>
        <w:numPr>
          <w:ilvl w:val="0"/>
          <w:numId w:val="1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Ontológicas (Heidegger, Simondon):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O que é “ser humano” quando próteses, chips e IA integram nossa existência? Onde termina o humano e começa a máquina?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Sociotécnicas (Mumford, Winner, Latour):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Quem decide quais tecnologias são desenvolvidas? Para quem servem os aprimoramentos?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Críticas/Políticas (Marcuse, Feenberg, Vieira Pinto):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O transhumanismo emancipa ou reforça desigualdades? Será uma utopia libertadora ou um privilégio das elites?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Fenomenológicas (Ihde, Verbeek):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Como a experiência do corpo e da mente muda ao viver mediado por implantes, IA e realidade aumentada?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Contemporâneas (Byung-Chul Han, Stiegler, Galimberti):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Que efeitos culturais e psíquicos a busca pela perfeição técnica produz? Haverá mais liberdade ou mais controle?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3. Principais defensores e críticos</w:t>
      </w:r>
    </w:p>
    <w:p w:rsidR="00000000" w:rsidDel="00000000" w:rsidP="00000000" w:rsidRDefault="00000000" w:rsidRPr="00000000" w14:paraId="00000012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Defensores do transhumanismo</w:t>
      </w:r>
    </w:p>
    <w:p w:rsidR="00000000" w:rsidDel="00000000" w:rsidP="00000000" w:rsidRDefault="00000000" w:rsidRPr="00000000" w14:paraId="00000013">
      <w:pPr>
        <w:numPr>
          <w:ilvl w:val="0"/>
          <w:numId w:val="1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Ray Kurzweil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– Futurista, defende a “singularidade tecnológica” e a fusão humano-IA.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Nick Bostrom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– Filósofo de Oxford, autor de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32"/>
          <w:szCs w:val="32"/>
          <w:rtl w:val="0"/>
        </w:rPr>
        <w:t xml:space="preserve">Superintelligence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e cofundador da World Transhumanist Association.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5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Max More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– Criador do termo “extropianismo”, uma filosofia de expansão das capacidades humanas.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Críticos do transhumanismo (no campo da filosofia da tecnologia)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Hans Jonas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– Com o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32"/>
          <w:szCs w:val="32"/>
          <w:rtl w:val="0"/>
        </w:rPr>
        <w:t xml:space="preserve">Princípio Responsabilidade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, alerta para os riscos éticos de alterar radicalmente a vida humana sem prever consequências.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Álvaro Vieira Pinto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– Mostra que a técnica nunca é neutra, é histórica e social, e pode reforçar dependências em vez de emancipar.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Donna Haraway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– Em seu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sz w:val="32"/>
          <w:szCs w:val="32"/>
          <w:rtl w:val="0"/>
        </w:rPr>
        <w:t xml:space="preserve">Manifesto Ciborgue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, não rejeita hibridizações, mas critica a ingenuidade tecnofílica do transhumanismo.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Byung-Chul Han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– Vê no transhumanismo uma radicalização da sociedade do desempenho, onde o corpo vira projeto infinito de otimização.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Umberto Galimberti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– Aponta que a técnica tende a se tornar “autônoma”, e o transhumanismo seria expressão máxima disso.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manter o negrito onde está em negrito</w:t>
      </w:r>
      <w:r w:rsidDel="00000000" w:rsidR="00000000" w:rsidRPr="00000000">
        <w:rPr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01E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sdt>
        <w:sdtPr>
          <w:id w:val="-1623419569"/>
          <w:tag w:val="goog_rdk_1"/>
        </w:sdtPr>
        <w:sdtContent>
          <w:commentRangeStart w:id="1"/>
        </w:sdtContent>
      </w:sdt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Conclusão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transhumanismo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pode ser lido de duas formas pela Filosofia da Tecnologia: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Como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utopia tecnofílica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, que aposta na superação das fragilidades humanas.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Como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projeto ideológico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, que naturaliza desigualdades, transforma corpos em mercadorias e reforça estruturas de poder.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Assim, ele é um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campo de tensão filosófica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: entre o desejo de emancipação pelo domínio técnico e o risco de alienação e controle pela mesma técnica.</w:t>
      </w:r>
    </w:p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Sobre o Brasil</w:t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Não dá para tratar “pensamento brasileiro” como algo homogêneo, ressaltando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diversidades regionais, históricas, políticas e culturais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que influenciam também o modo como pensamos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tecnologia, ciência e sociedade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. Mais ou menos como demonstramos na aula sobre os filósofos da tecnologia asiáticos.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Diversidade do Brasil na Filosofia da Tecnologia e Ciências Sociais</w:t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Cada número, um card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sdt>
        <w:sdtPr>
          <w:id w:val="-1716659244"/>
          <w:tag w:val="goog_rdk_2"/>
        </w:sdtPr>
        <w:sdtContent>
          <w:commentRangeStart w:id="2"/>
        </w:sdtContent>
      </w:sdt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1. Dimensão geográfica e regional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O Brasil é continental: Amazônia, Nordeste, Sul e Sudeste têm contextos sociais, econômicos e tecnológicos distintos.</w:t>
        <w:br w:type="textWrapping"/>
        <w:t xml:space="preserve">Exemplo: o debate sobre tecnologia agrícola (agronegócio digital, drones, agtechs) tem mais peso no Centro-Oeste/Sul, enquanto na Amazônia a tecnologia é pensada em termos de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monitoramento ambiental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e preservação.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2. História colonial e escravidão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A herança da colonização portuguesa e da escravidão africana marca profundamente a discussão sobre tecnologia no Brasil: quem controla os meios de produção, quem tem acesso e quem é excluído.</w:t>
        <w:br w:type="textWrapping"/>
        <w:t xml:space="preserve">Exemplo: tecnologias educacionais que não chegam igualmente às periferias urbanas e comunidades quilombolas.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3. Diferença entre universidades e realidades locais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Centros como USP, Unicamp, UFRJ produzem reflexões avançadas em Filosofia da Tecnologia, mas realidades de universidades do interior enfrentam falta de infraestrutura básica.</w:t>
        <w:br w:type="textWrapping"/>
        <w:t xml:space="preserve">Isso cria desigualdade no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tipo de tecnologia discutida e ensinada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4. Tradições intelectuais diversas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Pensadores brasileiros dialogam com correntes distintas: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Álvaro Vieira Pinto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→ técnica como constitutiva da existência social.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Paulo Freire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→ tecnologia vista a partir da pedagogia crítica e emancipatória.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1"/>
          <w:numId w:val="7"/>
        </w:numPr>
        <w:ind w:left="144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Marilena Chauí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→ filosofia como reflexão sobre poder, ideologia e ciência.</w:t>
        <w:br w:type="textWrapping"/>
        <w:t xml:space="preserve">Isso mostra que não existe “um” pensamento brasileiro sobre tecnologia, mas várias linhas críticas.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5. Influência indígena e afro-brasileira</w:t>
      </w:r>
    </w:p>
    <w:p w:rsidR="00000000" w:rsidDel="00000000" w:rsidP="00000000" w:rsidRDefault="00000000" w:rsidRPr="00000000" w14:paraId="00000038">
      <w:pPr>
        <w:numPr>
          <w:ilvl w:val="0"/>
          <w:numId w:val="8"/>
        </w:numPr>
        <w:ind w:left="720" w:hanging="36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Há filosofias e cosmologias indígenas e afro-brasileiras que pensam tecnologia em outros termos (natureza, espiritualidade, coletividade).</w:t>
        <w:br w:type="textWrapping"/>
        <w:t xml:space="preserve">Exemplo: uso de tecnologias de georreferenciamento para proteger territórios indígenas ou a valorização de saberes tradicionais na saúde.</w:t>
      </w:r>
    </w:p>
    <w:p w:rsidR="00000000" w:rsidDel="00000000" w:rsidP="00000000" w:rsidRDefault="00000000" w:rsidRPr="00000000" w14:paraId="00000039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6. Desigualdade digital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ind w:left="720" w:hanging="36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O acesso à internet e às tecnologias não é uniforme.</w:t>
        <w:br w:type="textWrapping"/>
        <w:t xml:space="preserve">Exemplo: enquanto startups de São Paulo exploram IA avançada, escolas públicas no interior ainda lutam por acesso à banda larga.</w:t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7. Diversidade política e ideológica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ind w:left="720" w:hanging="36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No debate sobre tecnologia, a política pesa: há leituras de viés mais liberal (tecnologia como motor do mercado) e leituras mais críticas (tecnologia como instrumento de opressão e vigilância).</w:t>
        <w:br w:type="textWrapping"/>
        <w:t xml:space="preserve">Exemplo: divergências nas discussões sobre regulação de fake news no Congresso.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8. Tecnologia e cultura popular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ind w:left="720" w:hanging="36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O Brasil também pensa tecnologia no campo da cultura: música digital, memes, redes sociais, games.</w:t>
        <w:br w:type="textWrapping"/>
        <w:t xml:space="preserve">Exemplo: o funk carioca e o rap paulista usam tecnologia de produção musical como forma de resistência e identidade cultural.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9. Diversidade de aplicação tecnológica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Agronegócio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: uso de satélites, IA, big data para produtividade.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Periferias urbanas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: uso de redes sociais e celulares baratos para mobilização política e cultural.</w:t>
        <w:br w:type="textWrapping"/>
        <w:t xml:space="preserve">Isso mostra como a relação com a tecnologia é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estratificada por classe e território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10. Produção acadêmica vs. prática social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ind w:left="720" w:hanging="360"/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Muitas vezes, o que se pesquisa na universidade (ética da IA, filosofia da técnica) não chega diretamente ao cotidiano social.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Mas práticas comunitárias (hackerspaces, rádios comunitárias, coletivos digitais) produzem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outra filosofia prática da tecnologia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 que também precisa ser reconhecida.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[</w:t>
      </w:r>
      <w:r w:rsidDel="00000000" w:rsidR="00000000" w:rsidRPr="00000000">
        <w:rPr>
          <w:rFonts w:ascii="Roboto" w:cs="Roboto" w:eastAsia="Roboto" w:hAnsi="Roboto"/>
          <w:color w:val="444746"/>
          <w:sz w:val="21"/>
          <w:szCs w:val="21"/>
          <w:rtl w:val="0"/>
        </w:rPr>
        <w:t xml:space="preserve">manter onde está em negrito</w:t>
      </w:r>
      <w:r w:rsidDel="00000000" w:rsidR="00000000" w:rsidRPr="00000000">
        <w:rPr>
          <w:sz w:val="32"/>
          <w:szCs w:val="32"/>
          <w:rtl w:val="0"/>
        </w:rPr>
        <w:t xml:space="preserve">]</w:t>
      </w:r>
    </w:p>
    <w:p w:rsidR="00000000" w:rsidDel="00000000" w:rsidP="00000000" w:rsidRDefault="00000000" w:rsidRPr="00000000" w14:paraId="0000004C">
      <w:pPr>
        <w:rPr>
          <w:rFonts w:ascii="Montserrat" w:cs="Montserrat" w:eastAsia="Montserrat" w:hAnsi="Montserrat"/>
          <w:b w:val="1"/>
          <w:bCs w:val="1"/>
          <w:sz w:val="32"/>
          <w:szCs w:val="32"/>
        </w:rPr>
      </w:pPr>
      <w:sdt>
        <w:sdtPr>
          <w:id w:val="2077021900"/>
          <w:tag w:val="goog_rdk_3"/>
        </w:sdtPr>
        <w:sdtContent>
          <w:commentRangeStart w:id="3"/>
        </w:sdtContent>
      </w:sdt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Conclusão</w:t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sz w:val="32"/>
          <w:szCs w:val="32"/>
        </w:rPr>
      </w:pP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Assim como não se pode reduzir “asiático” a uma identidade única,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não se pode falar de “o brasileiro” como se todos vivessem a mesma relação com a tecnologia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.</w:t>
        <w:br w:type="textWrapping"/>
        <w:t xml:space="preserve">O Brasil é múltiplo: desigualdades regionais, sociais e culturais moldam diferentes modos de pensar e viver a técnica.</w:t>
        <w:br w:type="textWrapping"/>
        <w:t xml:space="preserve">Isso exige uma abordagem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32"/>
          <w:szCs w:val="32"/>
          <w:rtl w:val="0"/>
        </w:rPr>
        <w:t xml:space="preserve">plural e situada</w:t>
      </w:r>
      <w:r w:rsidDel="00000000" w:rsidR="00000000" w:rsidRPr="00000000">
        <w:rPr>
          <w:rFonts w:ascii="Montserrat" w:cs="Montserrat" w:eastAsia="Montserrat" w:hAnsi="Montserrat"/>
          <w:sz w:val="32"/>
          <w:szCs w:val="32"/>
          <w:rtl w:val="0"/>
        </w:rPr>
        <w:t xml:space="preserve">, que valorize tanto os clássicos acadêmicos (Álvaro Vieira Pinto, Paulo Freire, Chauí) quanto os saberes indígenas, afro-brasileiros e populares.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Thais Gomes Carlos" w:id="2" w:date="2026-07-01T18:31:40Z"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número, um card</w:t>
      </w:r>
    </w:p>
  </w:comment>
  <w:comment w:author="Thais Gomes Carlos" w:id="3" w:date="2026-07-01T18:32:02Z"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onde está em negrito</w:t>
      </w:r>
    </w:p>
  </w:comment>
  <w:comment w:author="Thais Gomes Carlos" w:id="0" w:date="2026-07-01T18:30:27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número um dropdown</w:t>
      </w:r>
    </w:p>
  </w:comment>
  <w:comment w:author="Thais Gomes Carlos" w:id="1" w:date="2026-07-01T18:31:04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manter o negrito onde está em negrito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4E" w15:done="0"/>
  <w15:commentEx w15:paraId="0000004F" w15:done="0"/>
  <w15:commentEx w15:paraId="00000050" w15:done="0"/>
  <w15:commentEx w15:paraId="00000051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Aptos"/>
  <w:font w:name="Robot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Montserrat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Noto Sans Symbols">
    <w:embedRegular w:fontKey="{00000000-0000-0000-0000-000000000000}" r:id="rId11" w:subsetted="0"/>
    <w:embedBold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Aptos" w:cs="Aptos" w:eastAsia="Aptos" w:hAnsi="Aptos"/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-regular.ttf"/><Relationship Id="rId4" Type="http://schemas.openxmlformats.org/officeDocument/2006/relationships/font" Target="fonts/Roboto-bold.ttf"/><Relationship Id="rId11" Type="http://schemas.openxmlformats.org/officeDocument/2006/relationships/font" Target="fonts/NotoSansSymbols-regular.ttf"/><Relationship Id="rId10" Type="http://schemas.openxmlformats.org/officeDocument/2006/relationships/font" Target="fonts/Montserrat-boldItalic.ttf"/><Relationship Id="rId12" Type="http://schemas.openxmlformats.org/officeDocument/2006/relationships/font" Target="fonts/NotoSansSymbols-bold.ttf"/><Relationship Id="rId9" Type="http://schemas.openxmlformats.org/officeDocument/2006/relationships/font" Target="fonts/Montserrat-italic.ttf"/><Relationship Id="rId5" Type="http://schemas.openxmlformats.org/officeDocument/2006/relationships/font" Target="fonts/Roboto-italic.ttf"/><Relationship Id="rId6" Type="http://schemas.openxmlformats.org/officeDocument/2006/relationships/font" Target="fonts/Roboto-boldItalic.ttf"/><Relationship Id="rId7" Type="http://schemas.openxmlformats.org/officeDocument/2006/relationships/font" Target="fonts/Montserrat-regular.ttf"/><Relationship Id="rId8" Type="http://schemas.openxmlformats.org/officeDocument/2006/relationships/font" Target="fonts/Montserrat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37FVoyve3LVsWU/a67nTPWz0WA==">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