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Technical Assessment Report</w:t>
      </w:r>
    </w:p>
    <w:p>
      <w:pPr>
        <w:jc w:val="center"/>
      </w:pPr>
      <w:r>
        <w:rPr>
          <w:color w:val="2F5496"/>
          <w:sz w:val="32"/>
        </w:rPr>
        <w:br/>
        <w:t>Incident Management</w:t>
        <w:br/>
        <w:t>weisdev Instance</w:t>
        <w:br/>
      </w:r>
    </w:p>
    <w:p>
      <w:pPr>
        <w:jc w:val="center"/>
      </w:pPr>
      <w:r>
        <w:rPr>
          <w:sz w:val="24"/>
        </w:rPr>
        <w:t>Assessment ID: 24</w:t>
        <w:br/>
      </w:r>
      <w:r>
        <w:rPr>
          <w:sz w:val="24"/>
        </w:rPr>
        <w:t>Platform: Zurich</w:t>
        <w:br/>
      </w:r>
      <w:r>
        <w:rPr>
          <w:b/>
          <w:color w:val="FF0000"/>
          <w:sz w:val="28"/>
        </w:rPr>
        <w:t>Overall Risk: HIGH</w:t>
      </w:r>
    </w:p>
    <w:p>
      <w:r>
        <w:br w:type="page"/>
      </w:r>
    </w:p>
    <w:p>
      <w:pPr>
        <w:pStyle w:val="Heading1"/>
      </w:pPr>
      <w:r>
        <w:t>1. Executive Summary</w:t>
      </w:r>
    </w:p>
    <w:p>
      <w:r>
        <w:t>This technical assessment evaluates the Incident Management application on the weisdev ServiceNow instance running Zurich. The assessment analyzed 7810 scan results across 40 scans, identifying 977 customizations.</w:t>
      </w:r>
    </w:p>
    <w:p>
      <w:r>
        <w:t>Of the 977 customizations, 346 were classified as in-scope, 298 as adjacent, and 333 as out-of-scope. These artifacts were organized into 13 functional features. The overall risk level is assessed as HIGH.</w:t>
      </w:r>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Application</w:t>
            </w:r>
          </w:p>
        </w:tc>
        <w:tc>
          <w:tcPr>
            <w:tcW w:type="dxa" w:w="4320"/>
          </w:tcPr>
          <w:p>
            <w:r>
              <w:t>Incident Management</w:t>
            </w:r>
          </w:p>
        </w:tc>
      </w:tr>
      <w:tr>
        <w:tc>
          <w:tcPr>
            <w:tcW w:type="dxa" w:w="4320"/>
          </w:tcPr>
          <w:p>
            <w:r>
              <w:t>Instance</w:t>
            </w:r>
          </w:p>
        </w:tc>
        <w:tc>
          <w:tcPr>
            <w:tcW w:type="dxa" w:w="4320"/>
          </w:tcPr>
          <w:p>
            <w:r>
              <w:t>weisdev</w:t>
            </w:r>
          </w:p>
        </w:tc>
      </w:tr>
      <w:tr>
        <w:tc>
          <w:tcPr>
            <w:tcW w:type="dxa" w:w="4320"/>
          </w:tcPr>
          <w:p>
            <w:r>
              <w:t>Total Scan Results</w:t>
            </w:r>
          </w:p>
        </w:tc>
        <w:tc>
          <w:tcPr>
            <w:tcW w:type="dxa" w:w="4320"/>
          </w:tcPr>
          <w:p>
            <w:r>
              <w:t>7810</w:t>
            </w:r>
          </w:p>
        </w:tc>
      </w:tr>
      <w:tr>
        <w:tc>
          <w:tcPr>
            <w:tcW w:type="dxa" w:w="4320"/>
          </w:tcPr>
          <w:p>
            <w:r>
              <w:t>Customizations</w:t>
            </w:r>
          </w:p>
        </w:tc>
        <w:tc>
          <w:tcPr>
            <w:tcW w:type="dxa" w:w="4320"/>
          </w:tcPr>
          <w:p>
            <w:r>
              <w:t>977</w:t>
            </w:r>
          </w:p>
        </w:tc>
      </w:tr>
      <w:tr>
        <w:tc>
          <w:tcPr>
            <w:tcW w:type="dxa" w:w="4320"/>
          </w:tcPr>
          <w:p>
            <w:r>
              <w:t>In-Scope</w:t>
            </w:r>
          </w:p>
        </w:tc>
        <w:tc>
          <w:tcPr>
            <w:tcW w:type="dxa" w:w="4320"/>
          </w:tcPr>
          <w:p>
            <w:r>
              <w:t>346</w:t>
            </w:r>
          </w:p>
        </w:tc>
      </w:tr>
      <w:tr>
        <w:tc>
          <w:tcPr>
            <w:tcW w:type="dxa" w:w="4320"/>
          </w:tcPr>
          <w:p>
            <w:r>
              <w:t>Adjacent</w:t>
            </w:r>
          </w:p>
        </w:tc>
        <w:tc>
          <w:tcPr>
            <w:tcW w:type="dxa" w:w="4320"/>
          </w:tcPr>
          <w:p>
            <w:r>
              <w:t>298</w:t>
            </w:r>
          </w:p>
        </w:tc>
      </w:tr>
      <w:tr>
        <w:tc>
          <w:tcPr>
            <w:tcW w:type="dxa" w:w="4320"/>
          </w:tcPr>
          <w:p>
            <w:r>
              <w:t>Out-of-Scope</w:t>
            </w:r>
          </w:p>
        </w:tc>
        <w:tc>
          <w:tcPr>
            <w:tcW w:type="dxa" w:w="4320"/>
          </w:tcPr>
          <w:p>
            <w:r>
              <w:t>333</w:t>
            </w:r>
          </w:p>
        </w:tc>
      </w:tr>
      <w:tr>
        <w:tc>
          <w:tcPr>
            <w:tcW w:type="dxa" w:w="4320"/>
          </w:tcPr>
          <w:p>
            <w:r>
              <w:t>Features</w:t>
            </w:r>
          </w:p>
        </w:tc>
        <w:tc>
          <w:tcPr>
            <w:tcW w:type="dxa" w:w="4320"/>
          </w:tcPr>
          <w:p>
            <w:r>
              <w:t>13</w:t>
            </w:r>
          </w:p>
        </w:tc>
      </w:tr>
      <w:tr>
        <w:tc>
          <w:tcPr>
            <w:tcW w:type="dxa" w:w="4320"/>
          </w:tcPr>
          <w:p>
            <w:r>
              <w:t>Overall Risk</w:t>
            </w:r>
          </w:p>
        </w:tc>
        <w:tc>
          <w:tcPr>
            <w:tcW w:type="dxa" w:w="4320"/>
          </w:tcPr>
          <w:p>
            <w:r>
              <w:t>HIGH</w:t>
            </w:r>
          </w:p>
        </w:tc>
      </w:tr>
    </w:tbl>
    <w:p>
      <w:r>
        <w:br w:type="page"/>
      </w:r>
    </w:p>
    <w:p>
      <w:pPr>
        <w:pStyle w:val="Heading1"/>
      </w:pPr>
      <w:r>
        <w:t>2. Feature-by-Feature Analysis</w:t>
      </w:r>
    </w:p>
    <w:p>
      <w:pPr>
        <w:pStyle w:val="Heading2"/>
      </w:pPr>
      <w:r>
        <w:t>District &amp; Region Data Sync</w:t>
      </w:r>
    </w:p>
    <w:p>
      <w:r>
        <w:t>Synchronizes district and region organizational data on incident records. Four business rules copy district/region field values on record creation and on change events, while four client scripts enforce read-only behavior on these fields to prevent manual overrides. Supports the organizational hierarchy used for incident routing and reporting.</w:t>
      </w:r>
    </w:p>
    <w:p>
      <w:r>
        <w:t>Artifact Count: 9</w:t>
      </w:r>
    </w:p>
    <w:p>
      <w:r>
        <w:t>Types: sys_dictionary: 1, sys_script: 4, sys_script_client: 4</w:t>
      </w:r>
    </w:p>
    <w:p>
      <w:pPr>
        <w:pStyle w:val="Heading2"/>
      </w:pPr>
      <w:r>
        <w:t>Encrypted PHI Handling</w:t>
      </w:r>
    </w:p>
    <w:p>
      <w:r>
        <w:t>Protects sensitive patient health information (PHI/PII) on incident records through field-level encryption, conditional visibility, and access controls. Implements an encryption context pattern where PHI fields remain read-only until a user explicitly activates the encryption context, then conditionally shows patient data fields for pharmacy incidents involving disclosure events.</w:t>
      </w:r>
    </w:p>
    <w:p>
      <w:r>
        <w:t>Artifact Count: 57</w:t>
      </w:r>
    </w:p>
    <w:p>
      <w:r>
        <w:t>Types: sys_dictionary: 28, sys_script: 1, sys_script_client: 2, sys_security_acl: 9, sys_ui_action: 2, sys_ui_policy: 6, sys_ui_policy_action: 9</w:t>
      </w:r>
    </w:p>
    <w:p>
      <w:pPr>
        <w:pStyle w:val="Heading2"/>
      </w:pPr>
      <w:r>
        <w:t>Incident Auto-Assignment &amp; Routing</w:t>
      </w:r>
    </w:p>
    <w:p>
      <w:r>
        <w:t>Automated incident assignment logic including group assignment from parent records, assigned-to population, and assignment group reset on reopen. Provides the routing automation that determines which support group handles an incident based on categorization and parent record relationships.</w:t>
      </w:r>
    </w:p>
    <w:p>
      <w:r>
        <w:t>Artifact Count: 8</w:t>
      </w:r>
    </w:p>
    <w:p>
      <w:r>
        <w:t>Types: sc_cat_item_producer: 1, sys_script: 7</w:t>
      </w:r>
    </w:p>
    <w:p>
      <w:pPr>
        <w:pStyle w:val="Heading2"/>
      </w:pPr>
      <w:r>
        <w:t>Incident Caller &amp; Contact Management</w:t>
      </w:r>
    </w:p>
    <w:p>
      <w:r>
        <w:t>Manages the caller and on-behalf-of contact experience on incident forms. Handles caller lookup, caller-not-found scenarios, on-behalf-of population, contact sync with related users list, watch list management, and ticket history buttons. Provides the caller/contact management workflow that supports both help desk agents and self-service users.</w:t>
      </w:r>
    </w:p>
    <w:p>
      <w:r>
        <w:t>Artifact Count: 23</w:t>
      </w:r>
    </w:p>
    <w:p>
      <w:r>
        <w:t>Types: sys_dictionary: 6, sys_script: 3, sys_ui_action: 2, sys_ui_policy: 3, sys_ui_policy_action: 9</w:t>
      </w:r>
    </w:p>
    <w:p>
      <w:pPr>
        <w:pStyle w:val="Heading2"/>
      </w:pPr>
      <w:r>
        <w:t>Incident Cross-Module Actions</w:t>
      </w:r>
    </w:p>
    <w:p>
      <w:r>
        <w:t>UI actions on the incident form that create related records in other ITSM modules — Change (Emergency, Normal, Standard), Problem, Outage, and Request. Also includes the business rule that links emergency changes back to the originating incident. These are the cross-module navigation actions that allow users to escalate or extend an incident into other processes.</w:t>
      </w:r>
    </w:p>
    <w:p>
      <w:r>
        <w:t>Artifact Count: 12</w:t>
      </w:r>
    </w:p>
    <w:p>
      <w:r>
        <w:t>Types: sys_script: 1, sys_ui_action: 11</w:t>
      </w:r>
    </w:p>
    <w:p>
      <w:pPr>
        <w:pStyle w:val="Heading2"/>
      </w:pPr>
      <w:r>
        <w:t>Incident Form Field Defaults</w:t>
      </w:r>
    </w:p>
    <w:p>
      <w:r>
        <w:t>General incident form customizations controlling field defaults, visibility, mandatory/read-only behavior, and client-side form logic. Spans 76 custom dictionary entries defining incident-specific fields (store number, vendor number, affected stores, list level, equipment status), 25 client scripts managing form behavior, 12 UI policies enforcing field rules, and supporting UI actions.</w:t>
      </w:r>
    </w:p>
    <w:p>
      <w:r>
        <w:t>Artifact Count: 160</w:t>
      </w:r>
    </w:p>
    <w:p>
      <w:r>
        <w:t>Types: sys_db_object: 1, sys_dictionary: 76, sys_dictionary_override: 10, sys_script: 5, sys_script_client: 25, sys_ui_action: 7, sys_ui_policy: 12, sys_ui_policy_action: 24</w:t>
      </w:r>
    </w:p>
    <w:p>
      <w:pPr>
        <w:pStyle w:val="Heading2"/>
      </w:pPr>
      <w:r>
        <w:t>Incident Intake &amp; Service Catalog</w:t>
      </w:r>
    </w:p>
    <w:p>
      <w:r>
        <w:t>Service catalog entry points for incident creation. Contains 54 record producers spanning IT hardware, software, building maintenance, equipment, pharmacy, and retail operations, plus 9 order guides for multi-item workflows. Also includes categorization/classification fields used by intake forms to route incidents.</w:t>
      </w:r>
    </w:p>
    <w:p>
      <w:r>
        <w:t>Artifact Count: 71</w:t>
      </w:r>
    </w:p>
    <w:p>
      <w:r>
        <w:t>Types: sc_cat_item_guide: 9, sc_cat_item_producer: 54, sys_dictionary: 6, sys_script: 2</w:t>
      </w:r>
    </w:p>
    <w:p>
      <w:pPr>
        <w:pStyle w:val="Heading2"/>
      </w:pPr>
      <w:r>
        <w:t>Incident Security &amp; Access Controls</w:t>
      </w:r>
    </w:p>
    <w:p>
      <w:r>
        <w:t>Field-level and table-level ACLs controlling read and write access to general incident fields and the incident_task table. These are standalone security rules that don't belong to a specific functional solution — they protect core incident fields like state, comments, short_description, caller_id, assignment_group, and various custom fields.</w:t>
      </w:r>
    </w:p>
    <w:p>
      <w:r>
        <w:t>Artifact Count: 33</w:t>
      </w:r>
    </w:p>
    <w:p>
      <w:r>
        <w:t>Types: sys_security_acl: 33</w:t>
      </w:r>
    </w:p>
    <w:p>
      <w:pPr>
        <w:pStyle w:val="Heading2"/>
      </w:pPr>
      <w:r>
        <w:t>Incident State &amp; Workflow</w:t>
      </w:r>
    </w:p>
    <w:p>
      <w:r>
        <w:t>Controls incident state transitions, resolution workflow, and lifecycle automation. Includes business rules for state restrictions (revert to assigned, restrict close/cancel by role, draft state management), client scripts for state-driven form behavior, and UI actions for state progression. Enforces business logic around who can change states and what happens during transitions.</w:t>
      </w:r>
    </w:p>
    <w:p>
      <w:r>
        <w:t>Artifact Count: 13</w:t>
      </w:r>
    </w:p>
    <w:p>
      <w:r>
        <w:t>Types: sys_script: 4, sys_script_client: 3, sys_ui_action: 2, sys_ui_policy: 1, sys_ui_policy_action: 3</w:t>
      </w:r>
    </w:p>
    <w:p>
      <w:pPr>
        <w:pStyle w:val="Heading2"/>
      </w:pPr>
      <w:r>
        <w:t>Incident-to-Work-Order Integration</w:t>
      </w:r>
    </w:p>
    <w:p>
      <w:r>
        <w:t>Bi-directional integration between incident and work order records using a custom mapping table (u_dl_incident_to_work_order). Automatically creates work orders from incidents, syncs field values between the two, checks for open work orders on incident closure, and provides UI actions for manual work order management. Includes field mapping configuration, ACLs on the mapping table, and form behavior for work order-related fields.</w:t>
      </w:r>
    </w:p>
    <w:p>
      <w:r>
        <w:t>Artifact Count: 56</w:t>
      </w:r>
    </w:p>
    <w:p>
      <w:r>
        <w:t>Types: sc_cat_item_producer: 1, sys_db_object: 1, sys_dictionary: 10, sys_script: 13, sys_script_client: 6, sys_security_acl: 8, sys_ui_action: 5, sys_ui_policy: 7, sys_ui_policy_action: 5</w:t>
      </w:r>
    </w:p>
    <w:p>
      <w:pPr>
        <w:pStyle w:val="Heading2"/>
      </w:pPr>
      <w:r>
        <w:t>Miscellaneous Platform Customizations</w:t>
      </w:r>
    </w:p>
    <w:p>
      <w:r>
        <w:t>Standalone customizations not tied to incident management workflows. Includes PeopleSoft phone sync business rules, SAML2 authentication modification, TimeCard query helper, change risk calculation, active record filtering, manager membership restriction, and change model scratchpad population. These are platform-level or cross-module items that ended up in the incident assessment scope.</w:t>
      </w:r>
    </w:p>
    <w:p>
      <w:r>
        <w:t>Artifact Count: 11</w:t>
      </w:r>
    </w:p>
    <w:p>
      <w:r>
        <w:t>Types: sys_script: 6, sys_script_include: 5</w:t>
      </w:r>
    </w:p>
    <w:p>
      <w:pPr>
        <w:pStyle w:val="Heading2"/>
      </w:pPr>
      <w:r>
        <w:t>Pharmacy Incident Solution</w:t>
      </w:r>
    </w:p>
    <w:p>
      <w:r>
        <w:t>Complete pharmacy incident reporting workflow built on custom tables (u_task_pharmacy_incident, u_pharmacy_incident_ssc_tasks). Covers the full lifecycle from incident submission through pharmacist review, regional manager escalation, and SSC closure. Includes patient/medication data fields, prescription tracking, RPM scoring, conditional form logic via 35 UI policies, and table-level ACLs for pharmacy data access.</w:t>
      </w:r>
    </w:p>
    <w:p>
      <w:r>
        <w:t>Artifact Count: 191</w:t>
      </w:r>
    </w:p>
    <w:p>
      <w:r>
        <w:t>Types: sc_cat_item_producer: 3, sys_db_object: 2, sys_dictionary: 35, sys_script: 1, sys_security_acl: 15, sys_ui_action: 3, sys_ui_policy: 35, sys_ui_policy_action: 97</w:t>
      </w:r>
    </w:p>
    <w:p>
      <w:pPr>
        <w:pStyle w:val="Heading2"/>
      </w:pPr>
      <w:r>
        <w:t>[EMPTY - TO DELETE]</w:t>
      </w:r>
    </w:p>
    <w:p>
      <w:r>
        <w:t>Empty after refinement</w:t>
      </w:r>
    </w:p>
    <w:p>
      <w:r>
        <w:t>Artifact Count: 0</w:t>
      </w:r>
    </w:p>
    <w:p>
      <w:r>
        <w:br w:type="page"/>
      </w:r>
    </w:p>
    <w:p>
      <w:pPr>
        <w:pStyle w:val="Heading1"/>
      </w:pPr>
      <w:r>
        <w:t>3. Systemic Findings</w:t>
      </w:r>
    </w:p>
    <w:p>
      <w:r>
        <w:t>The following systemic patterns were identified:</w:t>
      </w:r>
    </w:p>
    <w:p>
      <w:pPr>
        <w:pStyle w:val="Heading2"/>
      </w:pPr>
      <w:r>
        <w:t>Consolidation</w:t>
      </w:r>
    </w:p>
    <w:p>
      <w:pPr>
        <w:pStyle w:val="ListBullet"/>
      </w:pPr>
      <w:r>
        <w:t>Consolidate Incident-to-Work-Order Business Rules</w:t>
      </w:r>
    </w:p>
    <w:p>
      <w:r>
        <w:t>At least 8 business rules on the incident table exist solely to create, sync, or manage Work Orders (Create Work Order, Create Work for record producers, Generate Work Order on Insert, Map INC fields to WO, Push assignment group to WO, Update WOT Assigned to/Assignment Group, Synchronize Work Notes, Check for Open Work Orders on Close). Several are marked INACTIVE, suggesting iterative replacement attempts. These should be consolidated into a single Script Include with a unified entry point, called from 1-2 business rules max. This reduces execution order conflicts and simplifies maintenance.</w:t>
      </w:r>
    </w:p>
    <w:p>
      <w:pPr>
        <w:pStyle w:val="ListBullet"/>
      </w:pPr>
      <w:r>
        <w:t>Rationalize 56 Incident Record Producers</w:t>
      </w:r>
    </w:p>
    <w:p>
      <w:r>
        <w:t>56 record producers create incidents from the service catalog. This is an unusually high count suggesting organic growth over time. Several likely overlap in purpose (e.g., equipment/hardware variants). A catalog rationalization exercise grouping producers by business function and consolidating overlapping ones will improve user experience and reduce maintenance. Consider whether any can leverage Flow Designer for intake automation.</w:t>
      </w:r>
    </w:p>
    <w:p>
      <w:pPr>
        <w:pStyle w:val="Heading2"/>
      </w:pPr>
      <w:r>
        <w:t>Best Practice</w:t>
      </w:r>
    </w:p>
    <w:p>
      <w:pPr>
        <w:pStyle w:val="ListBullet"/>
      </w:pPr>
      <w:r>
        <w:t>Evaluate Client Script to UI Policy Migration</w:t>
      </w:r>
    </w:p>
    <w:p>
      <w:r>
        <w:t>The Incident Client-Side Behavior feature has 30 client scripts (27 net-new) controlling field visibility, mandatory state, and read-only behavior. Many of these perform actions that UI Policies handle natively without custom code. Meanwhile, the Incident Form Field Policies feature has 55 UI policy actions already. A targeted review should identify client scripts that duplicate UI policy capabilities and migrate them to declarative UI policies, reducing JavaScript maintenance burden and improving form load performance.</w:t>
      </w:r>
    </w:p>
    <w:p>
      <w:pPr>
        <w:pStyle w:val="Heading2"/>
      </w:pPr>
      <w:r>
        <w:t>Architecture</w:t>
      </w:r>
    </w:p>
    <w:p>
      <w:pPr>
        <w:pStyle w:val="ListBullet"/>
      </w:pPr>
      <w:r>
        <w:t>Pharmacy Incident: Assess App Engine Studio Opportunity</w:t>
      </w:r>
    </w:p>
    <w:p>
      <w:r>
        <w:t>The Pharmacy Incident subsystem spans 156 artifacts (148 UI policies/actions + 5 workflow + 3 SSC tasks) across a custom table u_task_pharmacy_incident extending task. This is the single largest customization cluster in the assessment. All 156 artifacts are net-new customer code. The scale and independence of this subsystem suggests it may be a candidate for App Engine Studio scoped app migration, which would provide better lifecycle management, update isolation, and testability. At minimum, the 148 UI policy actions should be audited for redundancy — some may set the same field under overlapp</w:t>
      </w:r>
    </w:p>
    <w:p>
      <w:pPr>
        <w:pStyle w:val="Heading2"/>
      </w:pPr>
      <w:r>
        <w:t>Data Model</w:t>
      </w:r>
    </w:p>
    <w:p>
      <w:pPr>
        <w:pStyle w:val="ListBullet"/>
      </w:pPr>
      <w:r>
        <w:t>Audit 172 Custom Dictionary Entries for Usage</w:t>
      </w:r>
    </w:p>
    <w:p>
      <w:r>
        <w:t>172 custom dictionary entries (160 net-new, 12 OOTB modified) represent the largest artifact group. Custom fields that are unused or redundant add schema complexity, slow form rendering, and complicate upgrades. A field usage audit using sys_ui_section/sys_ui_form_section and actual runtime field population rates should identify candidates for deprecation. The 12 modified OOTB entries need special attention as they may conflict with upgrade patches.</w:t>
      </w:r>
    </w:p>
    <w:p>
      <w:pPr>
        <w:pStyle w:val="Heading2"/>
      </w:pPr>
      <w:r>
        <w:t>Security</w:t>
      </w:r>
    </w:p>
    <w:p>
      <w:pPr>
        <w:pStyle w:val="ListBullet"/>
      </w:pPr>
      <w:r>
        <w:t>Review 65 Custom ACLs for Role Alignment</w:t>
      </w:r>
    </w:p>
    <w:p>
      <w:r>
        <w:t>65 custom ACLs (57 net-new, 8 OOTB modified) control access to incident fields. Custom ACLs are high-risk during upgrades since ServiceNow ACL evaluation order is sensitive to duplicates and conflicts. The 8 modified OOTB ACLs should be verified against baseline to ensure they still align with platform security posture. All net-new ACLs should be cross-referenced with actual role assignments to confirm they enforce intended access patterns.</w:t>
      </w:r>
    </w:p>
    <w:p>
      <w:pPr>
        <w:pStyle w:val="Heading2"/>
      </w:pPr>
      <w:r>
        <w:t>Dependency</w:t>
      </w:r>
    </w:p>
    <w:p>
      <w:pPr>
        <w:pStyle w:val="ListBullet"/>
      </w:pPr>
      <w:r>
        <w:t>Incident Field Schema Is a Cross-Cutting Dependency</w:t>
      </w:r>
    </w:p>
    <w:p>
      <w:r>
        <w:t>The Incident Field Schema feature (172 dictionary entries) is referenced by every other incident feature: 46 field references from Business Rules, 46 from Client Scripts, 37 from UI Actions, 15 from Form Policies, and 99 structural links to Pharmacy Incident policies. Any field schema changes (rename, type change, deprecation) have cascading impact across all features. A field dependency map should be maintained and any field changes must be validated against all consuming features before deployment.</w:t>
      </w:r>
    </w:p>
    <w:p>
      <w:pPr>
        <w:pStyle w:val="Heading2"/>
      </w:pPr>
      <w:r>
        <w:t>Hygiene</w:t>
      </w:r>
    </w:p>
    <w:p>
      <w:pPr>
        <w:pStyle w:val="ListBullet"/>
      </w:pPr>
      <w:r>
        <w:t>Clean Up 23 Inactive Artifacts</w:t>
      </w:r>
    </w:p>
    <w:p>
      <w:r>
        <w:t>23 artifacts across multiple features are flagged INACTIVE in their observations. Inactive business rules, client scripts, and UI actions are technical debt — they confuse developers, clutter the configuration, and may contain stale logic that could be re-activated accidentally. Each should be evaluated: if superseded, retire; if disabled temporarily, document why and set a review date.</w:t>
      </w:r>
    </w:p>
    <w:p>
      <w:pPr>
        <w:pStyle w:val="Heading2"/>
      </w:pPr>
      <w:r>
        <w:t>Landscape Summary</w:t>
      </w:r>
    </w:p>
    <w:p>
      <w:pPr>
        <w:pStyle w:val="ListBullet"/>
      </w:pPr>
      <w:r>
        <w:t>Customization Landscape Summary</w:t>
      </w:r>
    </w:p>
    <w:p>
      <w:r>
        <w:t>Assessment ASMT0000024 currently has 644 customized artifacts. Top artifact tables: sys_dictionary (162), sys_ui_policy_action (147), sys_security_acl (65), sys_ui_policy (64), sc_cat_item_producer (59). Customization origin mix: net new customer: 599, modified ootb: 45. These observations are deterministic baselines and should be refined by AI/human review before final grouping decisions.</w:t>
      </w:r>
    </w:p>
    <w:p>
      <w:r>
        <w:br w:type="page"/>
      </w:r>
    </w:p>
    <w:p>
      <w:pPr>
        <w:pStyle w:val="Heading1"/>
      </w:pPr>
      <w:r>
        <w:t>4. Recommendations</w:t>
      </w:r>
    </w:p>
    <w:p>
      <w:pPr>
        <w:pStyle w:val="Heading2"/>
      </w:pPr>
      <w:r>
        <w:t>General</w:t>
      </w:r>
    </w:p>
    <w:p>
      <w:pPr>
        <w:pStyle w:val="ListBullet"/>
      </w:pPr>
      <w:r>
        <w:rPr>
          <w:b/>
        </w:rPr>
        <w:t xml:space="preserve">Consolidate Incident-to-Work-Order Business Rules: </w:t>
      </w:r>
      <w:r>
        <w:t>At least 8 business rules on the incident table exist solely to create, sync, or manage Work Orders (Create Work Order, Create Work for record producers, Generate Work Order on Insert, Map INC fields to WO, Push assignment group to WO, Update WOT Assigned to/Assignment Group, Synchronize Work Notes, Check for Open Work Orders on Close). Several are marked INACTIVE, suggesting iterative replacement</w:t>
      </w:r>
    </w:p>
    <w:p>
      <w:pPr>
        <w:pStyle w:val="ListBullet"/>
      </w:pPr>
      <w:r>
        <w:rPr>
          <w:b/>
        </w:rPr>
        <w:t xml:space="preserve">Evaluate Client Script to UI Policy Migration: </w:t>
      </w:r>
      <w:r>
        <w:t>The Incident Client-Side Behavior feature has 30 client scripts (27 net-new) controlling field visibility, mandatory state, and read-only behavior. Many of these perform actions that UI Policies handle natively without custom code. Meanwhile, the Incident Form Field Policies feature has 55 UI policy actions already. A targeted review should identify client scripts that duplicate UI policy capabili</w:t>
      </w:r>
    </w:p>
    <w:p>
      <w:pPr>
        <w:pStyle w:val="ListBullet"/>
      </w:pPr>
      <w:r>
        <w:rPr>
          <w:b/>
        </w:rPr>
        <w:t xml:space="preserve">Pharmacy Incident: Assess App Engine Studio Opportunity: </w:t>
      </w:r>
      <w:r>
        <w:t>The Pharmacy Incident subsystem spans 156 artifacts (148 UI policies/actions + 5 workflow + 3 SSC tasks) across a custom table u_task_pharmacy_incident extending task. This is the single largest customization cluster in the assessment. All 156 artifacts are net-new customer code. The scale and independence of this subsystem suggests it may be a candidate for App Engine Studio scoped app migration,</w:t>
      </w:r>
    </w:p>
    <w:p>
      <w:pPr>
        <w:pStyle w:val="ListBullet"/>
      </w:pPr>
      <w:r>
        <w:rPr>
          <w:b/>
        </w:rPr>
        <w:t xml:space="preserve">Audit 172 Custom Dictionary Entries for Usage: </w:t>
      </w:r>
      <w:r>
        <w:t>172 custom dictionary entries (160 net-new, 12 OOTB modified) represent the largest artifact group. Custom fields that are unused or redundant add schema complexity, slow form rendering, and complicate upgrades. A field usage audit using sys_ui_section/sys_ui_form_section and actual runtime field population rates should identify candidates for deprecation. The 12 modified OOTB entries need special</w:t>
      </w:r>
    </w:p>
    <w:p>
      <w:pPr>
        <w:pStyle w:val="ListBullet"/>
      </w:pPr>
      <w:r>
        <w:rPr>
          <w:b/>
        </w:rPr>
        <w:t xml:space="preserve">Review 65 Custom ACLs for Role Alignment: </w:t>
      </w:r>
      <w:r>
        <w:t>65 custom ACLs (57 net-new, 8 OOTB modified) control access to incident fields. Custom ACLs are high-risk during upgrades since ServiceNow ACL evaluation order is sensitive to duplicates and conflicts. The 8 modified OOTB ACLs should be verified against baseline to ensure they still align with platform security posture. All net-new ACLs should be cross-referenced with actual role assignments to co</w:t>
      </w:r>
    </w:p>
    <w:p>
      <w:pPr>
        <w:pStyle w:val="ListBullet"/>
      </w:pPr>
      <w:r>
        <w:rPr>
          <w:b/>
        </w:rPr>
        <w:t xml:space="preserve">Rationalize 56 Incident Record Producers: </w:t>
      </w:r>
      <w:r>
        <w:t xml:space="preserve">56 record producers create incidents from the service catalog. This is an unusually high count suggesting organic growth over time. Several likely overlap in purpose (e.g., equipment/hardware variants). A catalog rationalization exercise grouping producers by business function and consolidating overlapping ones will improve user experience and reduce maintenance. Consider whether any can leverage </w:t>
      </w:r>
    </w:p>
    <w:p>
      <w:pPr>
        <w:pStyle w:val="ListBullet"/>
      </w:pPr>
      <w:r>
        <w:rPr>
          <w:b/>
        </w:rPr>
        <w:t xml:space="preserve">Incident Field Schema Is a Cross-Cutting Dependency: </w:t>
      </w:r>
      <w:r>
        <w:t>The Incident Field Schema feature (172 dictionary entries) is referenced by every other incident feature: 46 field references from Business Rules, 46 from Client Scripts, 37 from UI Actions, 15 from Form Policies, and 99 structural links to Pharmacy Incident policies. Any field schema changes (rename, type change, deprecation) have cascading impact across all features. A field dependency map shoul</w:t>
      </w:r>
    </w:p>
    <w:p>
      <w:pPr>
        <w:pStyle w:val="ListBullet"/>
      </w:pPr>
      <w:r>
        <w:rPr>
          <w:b/>
        </w:rPr>
        <w:t xml:space="preserve">Clean Up 23 Inactive Artifacts: </w:t>
      </w:r>
      <w:r>
        <w:t>23 artifacts across multiple features are flagged INACTIVE in their observations. Inactive business rules, client scripts, and UI actions are technical debt — they confuse developers, clutter the configuration, and may contain stale logic that could be re-activated accidentally. Each should be evaluated: if superseded, retire; if disabled temporarily, document why and set a review date.</w:t>
      </w:r>
    </w:p>
    <w:p>
      <w:pPr>
        <w:pStyle w:val="ListBullet"/>
      </w:pPr>
      <w:r>
        <w:rPr>
          <w:b/>
        </w:rPr>
        <w:t xml:space="preserve">Customization Landscape Summary: </w:t>
      </w:r>
      <w:r>
        <w:t>Assessment ASMT0000024 currently has 644 customized artifacts. Top artifact tables: sys_dictionary (162), sys_ui_policy_action (147), sys_security_acl (65), sys_ui_policy (64), sc_cat_item_producer (59). Customization origin mix: net new customer: 599, modified ootb: 45. These observations are deterministic baselines and should be refined by AI/human review before final grouping decisions.</w:t>
      </w:r>
    </w:p>
    <w:p>
      <w:r>
        <w:br w:type="page"/>
      </w:r>
    </w:p>
    <w:p>
      <w:pPr>
        <w:pStyle w:val="Heading1"/>
      </w:pPr>
      <w:r>
        <w:t>5. Appendix</w:t>
      </w:r>
    </w:p>
    <w:p>
      <w:pPr>
        <w:pStyle w:val="Heading2"/>
      </w:pPr>
      <w:r>
        <w:t>A. Scope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Count</w:t>
            </w:r>
          </w:p>
        </w:tc>
        <w:tc>
          <w:tcPr>
            <w:tcW w:type="dxa" w:w="2880"/>
          </w:tcPr>
          <w:p>
            <w:r>
              <w:t>Percentage</w:t>
            </w:r>
          </w:p>
        </w:tc>
      </w:tr>
      <w:tr>
        <w:tc>
          <w:tcPr>
            <w:tcW w:type="dxa" w:w="2880"/>
          </w:tcPr>
          <w:p>
            <w:r>
              <w:t>In-Scope</w:t>
            </w:r>
          </w:p>
        </w:tc>
        <w:tc>
          <w:tcPr>
            <w:tcW w:type="dxa" w:w="2880"/>
          </w:tcPr>
          <w:p>
            <w:r>
              <w:t>346</w:t>
            </w:r>
          </w:p>
        </w:tc>
        <w:tc>
          <w:tcPr>
            <w:tcW w:type="dxa" w:w="2880"/>
          </w:tcPr>
          <w:p>
            <w:r>
              <w:t>35.4%</w:t>
            </w:r>
          </w:p>
        </w:tc>
      </w:tr>
      <w:tr>
        <w:tc>
          <w:tcPr>
            <w:tcW w:type="dxa" w:w="2880"/>
          </w:tcPr>
          <w:p>
            <w:r>
              <w:t>Adjacent</w:t>
            </w:r>
          </w:p>
        </w:tc>
        <w:tc>
          <w:tcPr>
            <w:tcW w:type="dxa" w:w="2880"/>
          </w:tcPr>
          <w:p>
            <w:r>
              <w:t>298</w:t>
            </w:r>
          </w:p>
        </w:tc>
        <w:tc>
          <w:tcPr>
            <w:tcW w:type="dxa" w:w="2880"/>
          </w:tcPr>
          <w:p>
            <w:r>
              <w:t>30.5%</w:t>
            </w:r>
          </w:p>
        </w:tc>
      </w:tr>
      <w:tr>
        <w:tc>
          <w:tcPr>
            <w:tcW w:type="dxa" w:w="2880"/>
          </w:tcPr>
          <w:p>
            <w:r>
              <w:t>Out-of-Scope</w:t>
            </w:r>
          </w:p>
        </w:tc>
        <w:tc>
          <w:tcPr>
            <w:tcW w:type="dxa" w:w="2880"/>
          </w:tcPr>
          <w:p>
            <w:r>
              <w:t>333</w:t>
            </w:r>
          </w:p>
        </w:tc>
        <w:tc>
          <w:tcPr>
            <w:tcW w:type="dxa" w:w="2880"/>
          </w:tcPr>
          <w:p>
            <w:r>
              <w:t>34.1%</w:t>
            </w:r>
          </w:p>
        </w:tc>
      </w:tr>
    </w:tbl>
    <w:p>
      <w:pPr>
        <w:pStyle w:val="Heading2"/>
      </w:pPr>
      <w:r>
        <w:t>B. Feature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Artifacts</w:t>
            </w:r>
          </w:p>
        </w:tc>
        <w:tc>
          <w:tcPr>
            <w:tcW w:type="dxa" w:w="2880"/>
          </w:tcPr>
          <w:p>
            <w:r>
              <w:t>Risk</w:t>
            </w:r>
          </w:p>
        </w:tc>
      </w:tr>
      <w:tr>
        <w:tc>
          <w:tcPr>
            <w:tcW w:type="dxa" w:w="2880"/>
          </w:tcPr>
          <w:p>
            <w:r>
              <w:t>District &amp; Region Data Sync</w:t>
            </w:r>
          </w:p>
        </w:tc>
        <w:tc>
          <w:tcPr>
            <w:tcW w:type="dxa" w:w="2880"/>
          </w:tcPr>
          <w:p>
            <w:r>
              <w:t>9</w:t>
            </w:r>
          </w:p>
        </w:tc>
        <w:tc>
          <w:tcPr>
            <w:tcW w:type="dxa" w:w="2880"/>
          </w:tcPr>
          <w:p>
            <w:r>
              <w:t>Medium</w:t>
            </w:r>
          </w:p>
        </w:tc>
      </w:tr>
      <w:tr>
        <w:tc>
          <w:tcPr>
            <w:tcW w:type="dxa" w:w="2880"/>
          </w:tcPr>
          <w:p>
            <w:r>
              <w:t>Encrypted PHI Handling</w:t>
            </w:r>
          </w:p>
        </w:tc>
        <w:tc>
          <w:tcPr>
            <w:tcW w:type="dxa" w:w="2880"/>
          </w:tcPr>
          <w:p>
            <w:r>
              <w:t>57</w:t>
            </w:r>
          </w:p>
        </w:tc>
        <w:tc>
          <w:tcPr>
            <w:tcW w:type="dxa" w:w="2880"/>
          </w:tcPr>
          <w:p>
            <w:r>
              <w:t>Medium</w:t>
            </w:r>
          </w:p>
        </w:tc>
      </w:tr>
      <w:tr>
        <w:tc>
          <w:tcPr>
            <w:tcW w:type="dxa" w:w="2880"/>
          </w:tcPr>
          <w:p>
            <w:r>
              <w:t>Incident Auto-Assignment &amp; Routing</w:t>
            </w:r>
          </w:p>
        </w:tc>
        <w:tc>
          <w:tcPr>
            <w:tcW w:type="dxa" w:w="2880"/>
          </w:tcPr>
          <w:p>
            <w:r>
              <w:t>8</w:t>
            </w:r>
          </w:p>
        </w:tc>
        <w:tc>
          <w:tcPr>
            <w:tcW w:type="dxa" w:w="2880"/>
          </w:tcPr>
          <w:p>
            <w:r>
              <w:t>Medium</w:t>
            </w:r>
          </w:p>
        </w:tc>
      </w:tr>
      <w:tr>
        <w:tc>
          <w:tcPr>
            <w:tcW w:type="dxa" w:w="2880"/>
          </w:tcPr>
          <w:p>
            <w:r>
              <w:t>Incident Caller &amp; Contact Management</w:t>
            </w:r>
          </w:p>
        </w:tc>
        <w:tc>
          <w:tcPr>
            <w:tcW w:type="dxa" w:w="2880"/>
          </w:tcPr>
          <w:p>
            <w:r>
              <w:t>23</w:t>
            </w:r>
          </w:p>
        </w:tc>
        <w:tc>
          <w:tcPr>
            <w:tcW w:type="dxa" w:w="2880"/>
          </w:tcPr>
          <w:p>
            <w:r>
              <w:t>Medium</w:t>
            </w:r>
          </w:p>
        </w:tc>
      </w:tr>
      <w:tr>
        <w:tc>
          <w:tcPr>
            <w:tcW w:type="dxa" w:w="2880"/>
          </w:tcPr>
          <w:p>
            <w:r>
              <w:t>Incident Cross-Module Actions</w:t>
            </w:r>
          </w:p>
        </w:tc>
        <w:tc>
          <w:tcPr>
            <w:tcW w:type="dxa" w:w="2880"/>
          </w:tcPr>
          <w:p>
            <w:r>
              <w:t>12</w:t>
            </w:r>
          </w:p>
        </w:tc>
        <w:tc>
          <w:tcPr>
            <w:tcW w:type="dxa" w:w="2880"/>
          </w:tcPr>
          <w:p>
            <w:r>
              <w:t>Medium</w:t>
            </w:r>
          </w:p>
        </w:tc>
      </w:tr>
      <w:tr>
        <w:tc>
          <w:tcPr>
            <w:tcW w:type="dxa" w:w="2880"/>
          </w:tcPr>
          <w:p>
            <w:r>
              <w:t>Incident Form Field Defaults</w:t>
            </w:r>
          </w:p>
        </w:tc>
        <w:tc>
          <w:tcPr>
            <w:tcW w:type="dxa" w:w="2880"/>
          </w:tcPr>
          <w:p>
            <w:r>
              <w:t>160</w:t>
            </w:r>
          </w:p>
        </w:tc>
        <w:tc>
          <w:tcPr>
            <w:tcW w:type="dxa" w:w="2880"/>
          </w:tcPr>
          <w:p>
            <w:r>
              <w:t>Medium</w:t>
            </w:r>
          </w:p>
        </w:tc>
      </w:tr>
      <w:tr>
        <w:tc>
          <w:tcPr>
            <w:tcW w:type="dxa" w:w="2880"/>
          </w:tcPr>
          <w:p>
            <w:r>
              <w:t>Incident Intake &amp; Service Catalog</w:t>
            </w:r>
          </w:p>
        </w:tc>
        <w:tc>
          <w:tcPr>
            <w:tcW w:type="dxa" w:w="2880"/>
          </w:tcPr>
          <w:p>
            <w:r>
              <w:t>71</w:t>
            </w:r>
          </w:p>
        </w:tc>
        <w:tc>
          <w:tcPr>
            <w:tcW w:type="dxa" w:w="2880"/>
          </w:tcPr>
          <w:p>
            <w:r>
              <w:t>Medium</w:t>
            </w:r>
          </w:p>
        </w:tc>
      </w:tr>
      <w:tr>
        <w:tc>
          <w:tcPr>
            <w:tcW w:type="dxa" w:w="2880"/>
          </w:tcPr>
          <w:p>
            <w:r>
              <w:t>Incident Security &amp; Access Controls</w:t>
            </w:r>
          </w:p>
        </w:tc>
        <w:tc>
          <w:tcPr>
            <w:tcW w:type="dxa" w:w="2880"/>
          </w:tcPr>
          <w:p>
            <w:r>
              <w:t>33</w:t>
            </w:r>
          </w:p>
        </w:tc>
        <w:tc>
          <w:tcPr>
            <w:tcW w:type="dxa" w:w="2880"/>
          </w:tcPr>
          <w:p>
            <w:r>
              <w:t>Medium</w:t>
            </w:r>
          </w:p>
        </w:tc>
      </w:tr>
      <w:tr>
        <w:tc>
          <w:tcPr>
            <w:tcW w:type="dxa" w:w="2880"/>
          </w:tcPr>
          <w:p>
            <w:r>
              <w:t>Incident State &amp; Workflow</w:t>
            </w:r>
          </w:p>
        </w:tc>
        <w:tc>
          <w:tcPr>
            <w:tcW w:type="dxa" w:w="2880"/>
          </w:tcPr>
          <w:p>
            <w:r>
              <w:t>13</w:t>
            </w:r>
          </w:p>
        </w:tc>
        <w:tc>
          <w:tcPr>
            <w:tcW w:type="dxa" w:w="2880"/>
          </w:tcPr>
          <w:p>
            <w:r>
              <w:t>Medium</w:t>
            </w:r>
          </w:p>
        </w:tc>
      </w:tr>
      <w:tr>
        <w:tc>
          <w:tcPr>
            <w:tcW w:type="dxa" w:w="2880"/>
          </w:tcPr>
          <w:p>
            <w:r>
              <w:t>Incident-to-Work-Order Integration</w:t>
            </w:r>
          </w:p>
        </w:tc>
        <w:tc>
          <w:tcPr>
            <w:tcW w:type="dxa" w:w="2880"/>
          </w:tcPr>
          <w:p>
            <w:r>
              <w:t>56</w:t>
            </w:r>
          </w:p>
        </w:tc>
        <w:tc>
          <w:tcPr>
            <w:tcW w:type="dxa" w:w="2880"/>
          </w:tcPr>
          <w:p>
            <w:r>
              <w:t>Medium</w:t>
            </w:r>
          </w:p>
        </w:tc>
      </w:tr>
      <w:tr>
        <w:tc>
          <w:tcPr>
            <w:tcW w:type="dxa" w:w="2880"/>
          </w:tcPr>
          <w:p>
            <w:r>
              <w:t>Miscellaneous Platform Customizations</w:t>
            </w:r>
          </w:p>
        </w:tc>
        <w:tc>
          <w:tcPr>
            <w:tcW w:type="dxa" w:w="2880"/>
          </w:tcPr>
          <w:p>
            <w:r>
              <w:t>11</w:t>
            </w:r>
          </w:p>
        </w:tc>
        <w:tc>
          <w:tcPr>
            <w:tcW w:type="dxa" w:w="2880"/>
          </w:tcPr>
          <w:p>
            <w:r>
              <w:t>Medium</w:t>
            </w:r>
          </w:p>
        </w:tc>
      </w:tr>
      <w:tr>
        <w:tc>
          <w:tcPr>
            <w:tcW w:type="dxa" w:w="2880"/>
          </w:tcPr>
          <w:p>
            <w:r>
              <w:t>Pharmacy Incident Solution</w:t>
            </w:r>
          </w:p>
        </w:tc>
        <w:tc>
          <w:tcPr>
            <w:tcW w:type="dxa" w:w="2880"/>
          </w:tcPr>
          <w:p>
            <w:r>
              <w:t>191</w:t>
            </w:r>
          </w:p>
        </w:tc>
        <w:tc>
          <w:tcPr>
            <w:tcW w:type="dxa" w:w="2880"/>
          </w:tcPr>
          <w:p>
            <w:r>
              <w:t>Medium</w:t>
            </w:r>
          </w:p>
        </w:tc>
      </w:tr>
      <w:tr>
        <w:tc>
          <w:tcPr>
            <w:tcW w:type="dxa" w:w="2880"/>
          </w:tcPr>
          <w:p>
            <w:r>
              <w:t>[EMPTY - TO DELETE]</w:t>
            </w:r>
          </w:p>
        </w:tc>
        <w:tc>
          <w:tcPr>
            <w:tcW w:type="dxa" w:w="2880"/>
          </w:tcPr>
          <w:p>
            <w:r>
              <w:t>0</w:t>
            </w:r>
          </w:p>
        </w:tc>
        <w:tc>
          <w:tcPr>
            <w:tcW w:type="dxa" w:w="2880"/>
          </w:tcPr>
          <w:p>
            <w: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