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Equity</w:t>
      </w:r>
      <w:r>
        <w:t xml:space="preserve"> </w:t>
      </w:r>
      <w:r>
        <w:t xml:space="preserve">Research</w:t>
      </w:r>
      <w:r>
        <w:t xml:space="preserve"> </w:t>
      </w:r>
      <w:r>
        <w:t xml:space="preserve">Report</w:t>
      </w:r>
    </w:p>
    <w:p>
      <w:pPr>
        <w:pStyle w:val="Author"/>
      </w:pPr>
      <w:r>
        <w:t xml:space="preserve">AI</w:t>
      </w:r>
      <w:r>
        <w:t xml:space="preserve"> </w:t>
      </w:r>
      <w:r>
        <w:t xml:space="preserve">Research</w:t>
      </w:r>
      <w:r>
        <w:t xml:space="preserve"> </w:t>
      </w:r>
      <w:r>
        <w:t xml:space="preserve">Desk</w:t>
      </w:r>
    </w:p>
    <w:p>
      <w:pPr>
        <w:pStyle w:val="Date"/>
      </w:pPr>
      <w:r>
        <w:t xml:space="preserve">2025-12-11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b9c72376c0d8926dc85b91b328d86378344b791"/>
    <w:p>
      <w:pPr>
        <w:pStyle w:val="Heading1"/>
      </w:pPr>
      <w:r>
        <w:t xml:space="preserve">Strategic Equity Research Report: Indian Equity Market Outlook &amp; Stock Specific Analysis</w:t>
      </w:r>
    </w:p>
    <w:p>
      <w:pPr>
        <w:pStyle w:val="FirstParagraph"/>
      </w:pPr>
      <w:r>
        <w:rPr>
          <w:bCs/>
          <w:b/>
        </w:rPr>
        <w:t xml:space="preserve">Prepared By:</w:t>
      </w:r>
      <w:r>
        <w:t xml:space="preserve"> </w:t>
      </w:r>
      <w:r>
        <w:t xml:space="preserve">Senior Equity Research Analyst, Top-Tier Indian Institutional Fund</w:t>
      </w:r>
      <w:r>
        <w:t xml:space="preserve"> </w:t>
      </w:r>
      <w:r>
        <w:rPr>
          <w:bCs/>
          <w:b/>
        </w:rPr>
        <w:t xml:space="preserve">Date:</w:t>
      </w:r>
      <w:r>
        <w:t xml:space="preserve"> </w:t>
      </w:r>
      <w:r>
        <w:t xml:space="preserve">March 14, 2024 (Data as of March 13, 2024, illustrative where real-time data access is limited)</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Indian equity market continues to exhibit resilience, albeit with increasing selectivity. We are currently in a</w:t>
      </w:r>
      <w:r>
        <w:t xml:space="preserve"> </w:t>
      </w:r>
      <w:r>
        <w:rPr>
          <w:bCs/>
          <w:b/>
        </w:rPr>
        <w:t xml:space="preserve">“</w:t>
      </w:r>
      <w:r>
        <w:rPr>
          <w:bCs/>
          <w:b/>
        </w:rPr>
        <w:t xml:space="preserve">Selective Growth &amp; Capital Efficiency</w:t>
      </w:r>
      <w:r>
        <w:rPr>
          <w:bCs/>
          <w:b/>
        </w:rPr>
        <w:t xml:space="preserve">”</w:t>
      </w:r>
      <w:r>
        <w:t xml:space="preserve"> </w:t>
      </w:r>
      <w:r>
        <w:t xml:space="preserve">phase, moving past the broad-based recovery. While the</w:t>
      </w:r>
      <w:r>
        <w:t xml:space="preserve"> </w:t>
      </w:r>
      <w:r>
        <w:rPr>
          <w:bCs/>
          <w:b/>
        </w:rPr>
        <w:t xml:space="preserve">Infra Super-Cycle</w:t>
      </w:r>
      <w:r>
        <w:t xml:space="preserve"> </w:t>
      </w:r>
      <w:r>
        <w:t xml:space="preserve">remains a potent multi-year theme fueled by government capex and private sector participation, the broader market is pivoting towards businesses demonstrating superior</w:t>
      </w:r>
      <w:r>
        <w:t xml:space="preserve"> </w:t>
      </w:r>
      <w:r>
        <w:rPr>
          <w:bCs/>
          <w:b/>
        </w:rPr>
        <w:t xml:space="preserve">Capital Efficiency</w:t>
      </w:r>
      <w:r>
        <w:t xml:space="preserve"> </w:t>
      </w:r>
      <w:r>
        <w:t xml:space="preserve">and robust</w:t>
      </w:r>
      <w:r>
        <w:t xml:space="preserve"> </w:t>
      </w:r>
      <w:r>
        <w:rPr>
          <w:bCs/>
          <w:b/>
        </w:rPr>
        <w:t xml:space="preserve">Moat Durability</w:t>
      </w:r>
      <w:r>
        <w:t xml:space="preserve">. Domestic consumption, particularly discretionary, shows pockets of strength but faces headwinds from persistent</w:t>
      </w:r>
      <w:r>
        <w:t xml:space="preserve"> </w:t>
      </w:r>
      <w:r>
        <w:rPr>
          <w:bCs/>
          <w:b/>
        </w:rPr>
        <w:t xml:space="preserve">Rural Distress</w:t>
      </w:r>
      <w:r>
        <w:t xml:space="preserve"> </w:t>
      </w:r>
      <w:r>
        <w:t xml:space="preserve">in specific geographies and segments. Global macro uncertainties persist, dictating a cautious yet opportunistic approach. Our mandate is to identify enterprises capable of generating sustainable free cash flow and delivering superior Return on Capital Employed (ROCE) in a competitive landscape.</w:t>
      </w:r>
    </w:p>
    <w:p>
      <w:r>
        <w:pict>
          <v:rect style="width:0;height:1.5pt" o:hralign="center" o:hrstd="t" o:hr="t"/>
        </w:pict>
      </w:r>
    </w:p>
    <w:bookmarkEnd w:id="21"/>
    <w:bookmarkStart w:id="22" w:name="thematic-landscape"/>
    <w:p>
      <w:pPr>
        <w:pStyle w:val="Heading1"/>
      </w:pPr>
      <w:r>
        <w:t xml:space="preserve">Thematic Landscape</w:t>
      </w:r>
    </w:p>
    <w:p>
      <w:pPr>
        <w:pStyle w:val="FirstParagraph"/>
      </w:pPr>
      <w:r>
        <w:t xml:space="preserve">We categorize the provided universe of stocks across key themes, assessing their positioning as Leaders or Laggards based on their strategic relevance, competitive positioning, and financial health.</w:t>
      </w:r>
    </w:p>
    <w:tbl>
      <w:tblPr>
        <w:tblStyle w:val="Table"/>
        <w:tblW w:type="pct" w:w="5000"/>
        <w:tblLook w:firstRow="1" w:lastRow="0" w:firstColumn="0" w:lastColumn="0" w:noHBand="0" w:noVBand="0" w:val="0020"/>
        <w:jc w:val="start"/>
      </w:tblPr>
      <w:tblGrid>
        <w:gridCol w:w="1427"/>
        <w:gridCol w:w="3177"/>
        <w:gridCol w:w="3315"/>
      </w:tblGrid>
      <w:tr>
        <w:trPr>
          <w:tblHeader w:val="true"/>
        </w:trPr>
        <w:tc>
          <w:tcPr/>
          <w:p>
            <w:pPr>
              <w:pStyle w:val="Compact"/>
              <w:jc w:val="left"/>
            </w:pPr>
            <w:r>
              <w:t xml:space="preserve">Theme</w:t>
            </w:r>
          </w:p>
        </w:tc>
        <w:tc>
          <w:tcPr/>
          <w:p>
            <w:pPr>
              <w:pStyle w:val="Compact"/>
              <w:jc w:val="left"/>
            </w:pPr>
            <w:r>
              <w:t xml:space="preserve">Leaders (High Conviction/Strong Moat)</w:t>
            </w:r>
          </w:p>
        </w:tc>
        <w:tc>
          <w:tcPr/>
          <w:p>
            <w:pPr>
              <w:pStyle w:val="Compact"/>
              <w:jc w:val="left"/>
            </w:pPr>
            <w:r>
              <w:t xml:space="preserve">Laggards (Weak Moat/Poor Capital Allocation)</w:t>
            </w:r>
          </w:p>
        </w:tc>
      </w:tr>
      <w:tr>
        <w:tc>
          <w:tcPr/>
          <w:p>
            <w:pPr>
              <w:pStyle w:val="Compact"/>
              <w:jc w:val="left"/>
            </w:pPr>
            <w:r>
              <w:rPr>
                <w:bCs/>
                <w:b/>
              </w:rPr>
              <w:t xml:space="preserve">Infra &amp; Industrial Capital Cycle</w:t>
            </w:r>
          </w:p>
        </w:tc>
        <w:tc>
          <w:tcPr/>
          <w:p>
            <w:pPr>
              <w:pStyle w:val="Compact"/>
              <w:jc w:val="left"/>
            </w:pPr>
            <w:r>
              <w:t xml:space="preserve">AEGISLOG (Logistics Backbone), KEI (Core Electrification), ENGINERSIN (Strategic PSU Engineering), STEELCAS (Commodity Scale)</w:t>
            </w:r>
          </w:p>
        </w:tc>
        <w:tc>
          <w:tcPr/>
          <w:p>
            <w:pPr>
              <w:pStyle w:val="Compact"/>
              <w:jc w:val="left"/>
            </w:pPr>
            <w:r>
              <w:t xml:space="preserve">MANAKSIA (Diversified, lower clarity), AMDIND (Weak position, fragmented)</w:t>
            </w:r>
          </w:p>
        </w:tc>
      </w:tr>
      <w:tr>
        <w:tc>
          <w:tcPr/>
          <w:p>
            <w:pPr>
              <w:pStyle w:val="Compact"/>
              <w:jc w:val="left"/>
            </w:pPr>
            <w:r>
              <w:rPr>
                <w:bCs/>
                <w:b/>
              </w:rPr>
              <w:t xml:space="preserve">Digital &amp; Engineering Services</w:t>
            </w:r>
          </w:p>
        </w:tc>
        <w:tc>
          <w:tcPr/>
          <w:p>
            <w:pPr>
              <w:pStyle w:val="Compact"/>
              <w:jc w:val="left"/>
            </w:pPr>
            <w:r>
              <w:t xml:space="preserve">TATATECH (Niche Expertise, Brand Power)</w:t>
            </w:r>
          </w:p>
        </w:tc>
        <w:tc>
          <w:tcPr/>
          <w:p>
            <w:pPr>
              <w:pStyle w:val="Compact"/>
              <w:jc w:val="left"/>
            </w:pPr>
            <w:r>
              <w:t xml:space="preserve">TERASOFT (Legacy Challenges), PANACHE (Competitive, low value-add)</w:t>
            </w:r>
          </w:p>
        </w:tc>
      </w:tr>
      <w:tr>
        <w:tc>
          <w:tcPr/>
          <w:p>
            <w:pPr>
              <w:pStyle w:val="Compact"/>
              <w:jc w:val="left"/>
            </w:pPr>
            <w:r>
              <w:rPr>
                <w:bCs/>
                <w:b/>
              </w:rPr>
              <w:t xml:space="preserve">Specialty Chemicals &amp; Manufacturing</w:t>
            </w:r>
          </w:p>
        </w:tc>
        <w:tc>
          <w:tcPr/>
          <w:p>
            <w:pPr>
              <w:pStyle w:val="Compact"/>
              <w:jc w:val="left"/>
            </w:pPr>
            <w:r>
              <w:t xml:space="preserve">AKSHARCHEM (Niche Products, Export Driven), BHAGCHEM (Cyclical, smaller scale)</w:t>
            </w:r>
          </w:p>
        </w:tc>
        <w:tc>
          <w:tcPr/>
          <w:p>
            <w:pPr>
              <w:pStyle w:val="Compact"/>
              <w:jc w:val="left"/>
            </w:pPr>
            <w:r>
              <w:rPr>
                <w:iCs/>
                <w:i/>
              </w:rPr>
              <w:t xml:space="preserve">None in this list represent clear leaders in this theme</w:t>
            </w:r>
          </w:p>
        </w:tc>
      </w:tr>
      <w:tr>
        <w:tc>
          <w:tcPr/>
          <w:p>
            <w:pPr>
              <w:pStyle w:val="Compact"/>
              <w:jc w:val="left"/>
            </w:pPr>
            <w:r>
              <w:rPr>
                <w:bCs/>
                <w:b/>
              </w:rPr>
              <w:t xml:space="preserve">Healthcare &amp; Consumer Brands</w:t>
            </w:r>
          </w:p>
        </w:tc>
        <w:tc>
          <w:tcPr/>
          <w:p>
            <w:pPr>
              <w:pStyle w:val="Compact"/>
              <w:jc w:val="left"/>
            </w:pPr>
            <w:r>
              <w:t xml:space="preserve">TTKHLTCARE (Established Brands, Diversified Portfolio)</w:t>
            </w:r>
          </w:p>
        </w:tc>
        <w:tc>
          <w:tcPr/>
          <w:p>
            <w:pPr>
              <w:pStyle w:val="Compact"/>
              <w:jc w:val="left"/>
            </w:pPr>
            <w:r>
              <w:t xml:space="preserve">BALPHARMA (Generic, competitive), GOLDENTOBC (Legacy, declining)</w:t>
            </w:r>
          </w:p>
        </w:tc>
      </w:tr>
      <w:tr>
        <w:tc>
          <w:tcPr/>
          <w:p>
            <w:pPr>
              <w:pStyle w:val="Compact"/>
              <w:jc w:val="left"/>
            </w:pPr>
            <w:r>
              <w:rPr>
                <w:bCs/>
                <w:b/>
              </w:rPr>
              <w:t xml:space="preserve">Asset-Heavy/Legacy/Holding</w:t>
            </w:r>
          </w:p>
        </w:tc>
        <w:tc>
          <w:tcPr/>
          <w:p>
            <w:pPr>
              <w:pStyle w:val="Compact"/>
              <w:jc w:val="left"/>
            </w:pPr>
            <w:r>
              <w:rPr>
                <w:iCs/>
                <w:i/>
              </w:rPr>
              <w:t xml:space="preserve">None</w:t>
            </w:r>
          </w:p>
        </w:tc>
        <w:tc>
          <w:tcPr/>
          <w:p>
            <w:pPr>
              <w:pStyle w:val="Compact"/>
              <w:jc w:val="left"/>
            </w:pPr>
            <w:r>
              <w:t xml:space="preserve">AMJLAND (Real Estate/Holding, Opacity), GOLDENTOBC (Declining Legacy)</w:t>
            </w:r>
          </w:p>
        </w:tc>
      </w:tr>
    </w:tbl>
    <w:p>
      <w:r>
        <w:pict>
          <v:rect style="width:0;height:1.5pt" o:hralign="center" o:hrstd="t" o:hr="t"/>
        </w:pict>
      </w:r>
    </w:p>
    <w:bookmarkEnd w:id="22"/>
    <w:bookmarkStart w:id="23" w:name="fundamental-data-matrix"/>
    <w:p>
      <w:pPr>
        <w:pStyle w:val="Heading1"/>
      </w:pPr>
      <w:r>
        <w:t xml:space="preserve">Fundamental Data Matrix</w:t>
      </w:r>
    </w:p>
    <w:p>
      <w:pPr>
        <w:pStyle w:val="FirstParagraph"/>
      </w:pPr>
      <w:r>
        <w:rPr>
          <w:iCs/>
          <w:i/>
        </w:rPr>
        <w:t xml:space="preserve">(Note: Data presented below are illustrative, reflecting current market sentiment and typical ranges. For live investment decisions, real-time data validation is paramount.)</w:t>
      </w:r>
    </w:p>
    <w:tbl>
      <w:tblPr>
        <w:tblStyle w:val="Table"/>
        <w:tblW w:type="pct" w:w="5000"/>
        <w:tblLook w:firstRow="1" w:lastRow="0" w:firstColumn="0" w:lastColumn="0" w:noHBand="0" w:noVBand="0" w:val="0020"/>
        <w:jc w:val="start"/>
      </w:tblPr>
      <w:tblGrid>
        <w:gridCol w:w="1377"/>
        <w:gridCol w:w="1033"/>
        <w:gridCol w:w="688"/>
        <w:gridCol w:w="1262"/>
        <w:gridCol w:w="918"/>
        <w:gridCol w:w="1262"/>
        <w:gridCol w:w="1377"/>
      </w:tblGrid>
      <w:tr>
        <w:trPr>
          <w:tblHeader w:val="true"/>
        </w:trPr>
        <w:tc>
          <w:tcPr/>
          <w:p>
            <w:pPr>
              <w:pStyle w:val="Compact"/>
              <w:jc w:val="left"/>
            </w:pPr>
            <w:r>
              <w:t xml:space="preserve">Ticker</w:t>
            </w:r>
          </w:p>
        </w:tc>
        <w:tc>
          <w:tcPr/>
          <w:p>
            <w:pPr>
              <w:pStyle w:val="Compact"/>
              <w:jc w:val="left"/>
            </w:pPr>
            <w:r>
              <w:t xml:space="preserve">P/E (TTM)</w:t>
            </w:r>
          </w:p>
        </w:tc>
        <w:tc>
          <w:tcPr/>
          <w:p>
            <w:pPr>
              <w:pStyle w:val="Compact"/>
              <w:jc w:val="left"/>
            </w:pPr>
            <w:r>
              <w:t xml:space="preserve">ROCE %</w:t>
            </w:r>
          </w:p>
        </w:tc>
        <w:tc>
          <w:tcPr/>
          <w:p>
            <w:pPr>
              <w:pStyle w:val="Compact"/>
              <w:jc w:val="left"/>
            </w:pPr>
            <w:r>
              <w:t xml:space="preserve">Debt/Equity</w:t>
            </w:r>
          </w:p>
        </w:tc>
        <w:tc>
          <w:tcPr/>
          <w:p>
            <w:pPr>
              <w:pStyle w:val="Compact"/>
              <w:jc w:val="left"/>
            </w:pPr>
            <w:r>
              <w:t xml:space="preserve">Pledge %</w:t>
            </w:r>
          </w:p>
        </w:tc>
        <w:tc>
          <w:tcPr/>
          <w:p>
            <w:pPr>
              <w:pStyle w:val="Compact"/>
              <w:jc w:val="left"/>
            </w:pPr>
            <w:r>
              <w:t xml:space="preserve">Moat Rating</w:t>
            </w:r>
          </w:p>
        </w:tc>
        <w:tc>
          <w:tcPr/>
          <w:p>
            <w:pPr>
              <w:pStyle w:val="Compact"/>
              <w:jc w:val="left"/>
            </w:pPr>
            <w:r>
              <w:t xml:space="preserve">Verdict</w:t>
            </w:r>
          </w:p>
        </w:tc>
      </w:tr>
      <w:tr>
        <w:tc>
          <w:tcPr/>
          <w:p>
            <w:pPr>
              <w:pStyle w:val="Compact"/>
              <w:jc w:val="left"/>
            </w:pPr>
            <w:r>
              <w:t xml:space="preserve">AEGISLOG</w:t>
            </w:r>
          </w:p>
        </w:tc>
        <w:tc>
          <w:tcPr/>
          <w:p>
            <w:pPr>
              <w:pStyle w:val="Compact"/>
              <w:jc w:val="left"/>
            </w:pPr>
            <w:r>
              <w:t xml:space="preserve">35.0x</w:t>
            </w:r>
          </w:p>
        </w:tc>
        <w:tc>
          <w:tcPr/>
          <w:p>
            <w:pPr>
              <w:pStyle w:val="Compact"/>
              <w:jc w:val="left"/>
            </w:pPr>
            <w:r>
              <w:t xml:space="preserve">18%</w:t>
            </w:r>
          </w:p>
        </w:tc>
        <w:tc>
          <w:tcPr/>
          <w:p>
            <w:pPr>
              <w:pStyle w:val="Compact"/>
              <w:jc w:val="left"/>
            </w:pPr>
            <w:r>
              <w:t xml:space="preserve">0.4</w:t>
            </w:r>
          </w:p>
        </w:tc>
        <w:tc>
          <w:tcPr/>
          <w:p>
            <w:pPr>
              <w:pStyle w:val="Compact"/>
              <w:jc w:val="left"/>
            </w:pPr>
            <w:r>
              <w:t xml:space="preserve">0.0%</w:t>
            </w:r>
          </w:p>
        </w:tc>
        <w:tc>
          <w:tcPr/>
          <w:p>
            <w:pPr>
              <w:pStyle w:val="Compact"/>
              <w:jc w:val="left"/>
            </w:pPr>
            <w:r>
              <w:t xml:space="preserve">Moderate</w:t>
            </w:r>
          </w:p>
        </w:tc>
        <w:tc>
          <w:tcPr/>
          <w:p>
            <w:pPr>
              <w:pStyle w:val="Compact"/>
              <w:jc w:val="left"/>
            </w:pPr>
            <w:r>
              <w:t xml:space="preserve">Accumulate</w:t>
            </w:r>
          </w:p>
        </w:tc>
      </w:tr>
      <w:tr>
        <w:tc>
          <w:tcPr/>
          <w:p>
            <w:pPr>
              <w:pStyle w:val="Compact"/>
              <w:jc w:val="left"/>
            </w:pPr>
            <w:r>
              <w:t xml:space="preserve">MANAKSIA</w:t>
            </w:r>
          </w:p>
        </w:tc>
        <w:tc>
          <w:tcPr/>
          <w:p>
            <w:pPr>
              <w:pStyle w:val="Compact"/>
              <w:jc w:val="left"/>
            </w:pPr>
            <w:r>
              <w:t xml:space="preserve">18.0x</w:t>
            </w:r>
          </w:p>
        </w:tc>
        <w:tc>
          <w:tcPr/>
          <w:p>
            <w:pPr>
              <w:pStyle w:val="Compact"/>
              <w:jc w:val="left"/>
            </w:pPr>
            <w:r>
              <w:t xml:space="preserve">12%</w:t>
            </w:r>
          </w:p>
        </w:tc>
        <w:tc>
          <w:tcPr/>
          <w:p>
            <w:pPr>
              <w:pStyle w:val="Compact"/>
              <w:jc w:val="left"/>
            </w:pPr>
            <w:r>
              <w:t xml:space="preserve">0.8</w:t>
            </w:r>
          </w:p>
        </w:tc>
        <w:tc>
          <w:tcPr/>
          <w:p>
            <w:pPr>
              <w:pStyle w:val="Compact"/>
              <w:jc w:val="left"/>
            </w:pPr>
            <w:r>
              <w:t xml:space="preserve">2.5%</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TERASOFT</w:t>
            </w:r>
          </w:p>
        </w:tc>
        <w:tc>
          <w:tcPr/>
          <w:p>
            <w:pPr>
              <w:pStyle w:val="Compact"/>
              <w:jc w:val="left"/>
            </w:pPr>
            <w:r>
              <w:t xml:space="preserve">Loss/NA</w:t>
            </w:r>
          </w:p>
        </w:tc>
        <w:tc>
          <w:tcPr/>
          <w:p>
            <w:pPr>
              <w:pStyle w:val="Compact"/>
              <w:jc w:val="left"/>
            </w:pPr>
            <w:r>
              <w:t xml:space="preserve">3%</w:t>
            </w:r>
          </w:p>
        </w:tc>
        <w:tc>
          <w:tcPr/>
          <w:p>
            <w:pPr>
              <w:pStyle w:val="Compact"/>
              <w:jc w:val="left"/>
            </w:pPr>
            <w:r>
              <w:t xml:space="preserve">1.5</w:t>
            </w:r>
          </w:p>
        </w:tc>
        <w:tc>
          <w:tcPr/>
          <w:p>
            <w:pPr>
              <w:pStyle w:val="Compact"/>
              <w:jc w:val="left"/>
            </w:pPr>
            <w:r>
              <w:t xml:space="preserve">15.0%</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TATATECH</w:t>
            </w:r>
          </w:p>
        </w:tc>
        <w:tc>
          <w:tcPr/>
          <w:p>
            <w:pPr>
              <w:pStyle w:val="Compact"/>
              <w:jc w:val="left"/>
            </w:pPr>
            <w:r>
              <w:t xml:space="preserve">75.0x</w:t>
            </w:r>
          </w:p>
        </w:tc>
        <w:tc>
          <w:tcPr/>
          <w:p>
            <w:pPr>
              <w:pStyle w:val="Compact"/>
              <w:jc w:val="left"/>
            </w:pPr>
            <w:r>
              <w:t xml:space="preserve">25%</w:t>
            </w:r>
          </w:p>
        </w:tc>
        <w:tc>
          <w:tcPr/>
          <w:p>
            <w:pPr>
              <w:pStyle w:val="Compact"/>
              <w:jc w:val="left"/>
            </w:pPr>
            <w:r>
              <w:t xml:space="preserve">0.1</w:t>
            </w:r>
          </w:p>
        </w:tc>
        <w:tc>
          <w:tcPr/>
          <w:p>
            <w:pPr>
              <w:pStyle w:val="Compact"/>
              <w:jc w:val="left"/>
            </w:pPr>
            <w:r>
              <w:t xml:space="preserve">0.0%</w:t>
            </w:r>
          </w:p>
        </w:tc>
        <w:tc>
          <w:tcPr/>
          <w:p>
            <w:pPr>
              <w:pStyle w:val="Compact"/>
              <w:jc w:val="left"/>
            </w:pPr>
            <w:r>
              <w:t xml:space="preserve">Strong</w:t>
            </w:r>
          </w:p>
        </w:tc>
        <w:tc>
          <w:tcPr/>
          <w:p>
            <w:pPr>
              <w:pStyle w:val="Compact"/>
              <w:jc w:val="left"/>
            </w:pPr>
            <w:r>
              <w:t xml:space="preserve">Accumulate</w:t>
            </w:r>
          </w:p>
        </w:tc>
      </w:tr>
      <w:tr>
        <w:tc>
          <w:tcPr/>
          <w:p>
            <w:pPr>
              <w:pStyle w:val="Compact"/>
              <w:jc w:val="left"/>
            </w:pPr>
            <w:r>
              <w:t xml:space="preserve">STEELCAS</w:t>
            </w:r>
          </w:p>
        </w:tc>
        <w:tc>
          <w:tcPr/>
          <w:p>
            <w:pPr>
              <w:pStyle w:val="Compact"/>
              <w:jc w:val="left"/>
            </w:pPr>
            <w:r>
              <w:t xml:space="preserve">12.0x</w:t>
            </w:r>
          </w:p>
        </w:tc>
        <w:tc>
          <w:tcPr/>
          <w:p>
            <w:pPr>
              <w:pStyle w:val="Compact"/>
              <w:jc w:val="left"/>
            </w:pPr>
            <w:r>
              <w:t xml:space="preserve">10%</w:t>
            </w:r>
          </w:p>
        </w:tc>
        <w:tc>
          <w:tcPr/>
          <w:p>
            <w:pPr>
              <w:pStyle w:val="Compact"/>
              <w:jc w:val="left"/>
            </w:pPr>
            <w:r>
              <w:t xml:space="preserve">0.7</w:t>
            </w:r>
          </w:p>
        </w:tc>
        <w:tc>
          <w:tcPr/>
          <w:p>
            <w:pPr>
              <w:pStyle w:val="Compact"/>
              <w:jc w:val="left"/>
            </w:pPr>
            <w:r>
              <w:t xml:space="preserve">0.0%</w:t>
            </w:r>
          </w:p>
        </w:tc>
        <w:tc>
          <w:tcPr/>
          <w:p>
            <w:pPr>
              <w:pStyle w:val="Compact"/>
              <w:jc w:val="left"/>
            </w:pPr>
            <w:r>
              <w:t xml:space="preserve">Weak (Commodity)</w:t>
            </w:r>
          </w:p>
        </w:tc>
        <w:tc>
          <w:tcPr/>
          <w:p>
            <w:pPr>
              <w:pStyle w:val="Compact"/>
              <w:jc w:val="left"/>
            </w:pPr>
            <w:r>
              <w:t xml:space="preserve">Accumulate</w:t>
            </w:r>
          </w:p>
        </w:tc>
      </w:tr>
      <w:tr>
        <w:tc>
          <w:tcPr/>
          <w:p>
            <w:pPr>
              <w:pStyle w:val="Compact"/>
              <w:jc w:val="left"/>
            </w:pPr>
            <w:r>
              <w:t xml:space="preserve">PANACHE</w:t>
            </w:r>
          </w:p>
        </w:tc>
        <w:tc>
          <w:tcPr/>
          <w:p>
            <w:pPr>
              <w:pStyle w:val="Compact"/>
              <w:jc w:val="left"/>
            </w:pPr>
            <w:r>
              <w:t xml:space="preserve">28.0x</w:t>
            </w:r>
          </w:p>
        </w:tc>
        <w:tc>
          <w:tcPr/>
          <w:p>
            <w:pPr>
              <w:pStyle w:val="Compact"/>
              <w:jc w:val="left"/>
            </w:pPr>
            <w:r>
              <w:t xml:space="preserve">8%</w:t>
            </w:r>
          </w:p>
        </w:tc>
        <w:tc>
          <w:tcPr/>
          <w:p>
            <w:pPr>
              <w:pStyle w:val="Compact"/>
              <w:jc w:val="left"/>
            </w:pPr>
            <w:r>
              <w:t xml:space="preserve">1.1</w:t>
            </w:r>
          </w:p>
        </w:tc>
        <w:tc>
          <w:tcPr/>
          <w:p>
            <w:pPr>
              <w:pStyle w:val="Compact"/>
              <w:jc w:val="left"/>
            </w:pPr>
            <w:r>
              <w:t xml:space="preserve">12.0%</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AKSHARCHEM</w:t>
            </w:r>
          </w:p>
        </w:tc>
        <w:tc>
          <w:tcPr/>
          <w:p>
            <w:pPr>
              <w:pStyle w:val="Compact"/>
              <w:jc w:val="left"/>
            </w:pPr>
            <w:r>
              <w:t xml:space="preserve">22.0x</w:t>
            </w:r>
          </w:p>
        </w:tc>
        <w:tc>
          <w:tcPr/>
          <w:p>
            <w:pPr>
              <w:pStyle w:val="Compact"/>
              <w:jc w:val="left"/>
            </w:pPr>
            <w:r>
              <w:t xml:space="preserve">16%</w:t>
            </w:r>
          </w:p>
        </w:tc>
        <w:tc>
          <w:tcPr/>
          <w:p>
            <w:pPr>
              <w:pStyle w:val="Compact"/>
              <w:jc w:val="left"/>
            </w:pPr>
            <w:r>
              <w:t xml:space="preserve">0.3</w:t>
            </w:r>
          </w:p>
        </w:tc>
        <w:tc>
          <w:tcPr/>
          <w:p>
            <w:pPr>
              <w:pStyle w:val="Compact"/>
              <w:jc w:val="left"/>
            </w:pPr>
            <w:r>
              <w:t xml:space="preserve">0.0%</w:t>
            </w:r>
          </w:p>
        </w:tc>
        <w:tc>
          <w:tcPr/>
          <w:p>
            <w:pPr>
              <w:pStyle w:val="Compact"/>
              <w:jc w:val="left"/>
            </w:pPr>
            <w:r>
              <w:t xml:space="preserve">Moderate</w:t>
            </w:r>
          </w:p>
        </w:tc>
        <w:tc>
          <w:tcPr/>
          <w:p>
            <w:pPr>
              <w:pStyle w:val="Compact"/>
              <w:jc w:val="left"/>
            </w:pPr>
            <w:r>
              <w:t xml:space="preserve">Buy</w:t>
            </w:r>
          </w:p>
        </w:tc>
      </w:tr>
      <w:tr>
        <w:tc>
          <w:tcPr/>
          <w:p>
            <w:pPr>
              <w:pStyle w:val="Compact"/>
              <w:jc w:val="left"/>
            </w:pPr>
            <w:r>
              <w:t xml:space="preserve">KEI</w:t>
            </w:r>
          </w:p>
        </w:tc>
        <w:tc>
          <w:tcPr/>
          <w:p>
            <w:pPr>
              <w:pStyle w:val="Compact"/>
              <w:jc w:val="left"/>
            </w:pPr>
            <w:r>
              <w:t xml:space="preserve">42.0x</w:t>
            </w:r>
          </w:p>
        </w:tc>
        <w:tc>
          <w:tcPr/>
          <w:p>
            <w:pPr>
              <w:pStyle w:val="Compact"/>
              <w:jc w:val="left"/>
            </w:pPr>
            <w:r>
              <w:t xml:space="preserve">23%</w:t>
            </w:r>
          </w:p>
        </w:tc>
        <w:tc>
          <w:tcPr/>
          <w:p>
            <w:pPr>
              <w:pStyle w:val="Compact"/>
              <w:jc w:val="left"/>
            </w:pPr>
            <w:r>
              <w:t xml:space="preserve">0.6</w:t>
            </w:r>
          </w:p>
        </w:tc>
        <w:tc>
          <w:tcPr/>
          <w:p>
            <w:pPr>
              <w:pStyle w:val="Compact"/>
              <w:jc w:val="left"/>
            </w:pPr>
            <w:r>
              <w:t xml:space="preserve">0.0%</w:t>
            </w:r>
          </w:p>
        </w:tc>
        <w:tc>
          <w:tcPr/>
          <w:p>
            <w:pPr>
              <w:pStyle w:val="Compact"/>
              <w:jc w:val="left"/>
            </w:pPr>
            <w:r>
              <w:t xml:space="preserve">Strong</w:t>
            </w:r>
          </w:p>
        </w:tc>
        <w:tc>
          <w:tcPr/>
          <w:p>
            <w:pPr>
              <w:pStyle w:val="Compact"/>
              <w:jc w:val="left"/>
            </w:pPr>
            <w:r>
              <w:t xml:space="preserve">Buy</w:t>
            </w:r>
          </w:p>
        </w:tc>
      </w:tr>
      <w:tr>
        <w:tc>
          <w:tcPr/>
          <w:p>
            <w:pPr>
              <w:pStyle w:val="Compact"/>
              <w:jc w:val="left"/>
            </w:pPr>
            <w:r>
              <w:t xml:space="preserve">GOLDENTOBC</w:t>
            </w:r>
          </w:p>
        </w:tc>
        <w:tc>
          <w:tcPr/>
          <w:p>
            <w:pPr>
              <w:pStyle w:val="Compact"/>
              <w:jc w:val="left"/>
            </w:pPr>
            <w:r>
              <w:t xml:space="preserve">Loss/NA</w:t>
            </w:r>
          </w:p>
        </w:tc>
        <w:tc>
          <w:tcPr/>
          <w:p>
            <w:pPr>
              <w:pStyle w:val="Compact"/>
              <w:jc w:val="left"/>
            </w:pPr>
            <w:r>
              <w:t xml:space="preserve">-5%</w:t>
            </w:r>
          </w:p>
        </w:tc>
        <w:tc>
          <w:tcPr/>
          <w:p>
            <w:pPr>
              <w:pStyle w:val="Compact"/>
              <w:jc w:val="left"/>
            </w:pPr>
            <w:r>
              <w:t xml:space="preserve">2.0+</w:t>
            </w:r>
          </w:p>
        </w:tc>
        <w:tc>
          <w:tcPr/>
          <w:p>
            <w:pPr>
              <w:pStyle w:val="Compact"/>
              <w:jc w:val="left"/>
            </w:pPr>
            <w:r>
              <w:t xml:space="preserve">25.0%</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ENGINERSIN</w:t>
            </w:r>
          </w:p>
        </w:tc>
        <w:tc>
          <w:tcPr/>
          <w:p>
            <w:pPr>
              <w:pStyle w:val="Compact"/>
              <w:jc w:val="left"/>
            </w:pPr>
            <w:r>
              <w:t xml:space="preserve">20.0x</w:t>
            </w:r>
          </w:p>
        </w:tc>
        <w:tc>
          <w:tcPr/>
          <w:p>
            <w:pPr>
              <w:pStyle w:val="Compact"/>
              <w:jc w:val="left"/>
            </w:pPr>
            <w:r>
              <w:t xml:space="preserve">17%</w:t>
            </w:r>
          </w:p>
        </w:tc>
        <w:tc>
          <w:tcPr/>
          <w:p>
            <w:pPr>
              <w:pStyle w:val="Compact"/>
              <w:jc w:val="left"/>
            </w:pPr>
            <w:r>
              <w:t xml:space="preserve">0.0</w:t>
            </w:r>
          </w:p>
        </w:tc>
        <w:tc>
          <w:tcPr/>
          <w:p>
            <w:pPr>
              <w:pStyle w:val="Compact"/>
              <w:jc w:val="left"/>
            </w:pPr>
            <w:r>
              <w:t xml:space="preserve">0.0%</w:t>
            </w:r>
          </w:p>
        </w:tc>
        <w:tc>
          <w:tcPr/>
          <w:p>
            <w:pPr>
              <w:pStyle w:val="Compact"/>
              <w:jc w:val="left"/>
            </w:pPr>
            <w:r>
              <w:t xml:space="preserve">Sovereign</w:t>
            </w:r>
          </w:p>
        </w:tc>
        <w:tc>
          <w:tcPr/>
          <w:p>
            <w:pPr>
              <w:pStyle w:val="Compact"/>
              <w:jc w:val="left"/>
            </w:pPr>
            <w:r>
              <w:t xml:space="preserve">Accumulate</w:t>
            </w:r>
          </w:p>
        </w:tc>
      </w:tr>
      <w:tr>
        <w:tc>
          <w:tcPr/>
          <w:p>
            <w:pPr>
              <w:pStyle w:val="Compact"/>
              <w:jc w:val="left"/>
            </w:pPr>
            <w:r>
              <w:t xml:space="preserve">BHAGCHEM</w:t>
            </w:r>
          </w:p>
        </w:tc>
        <w:tc>
          <w:tcPr/>
          <w:p>
            <w:pPr>
              <w:pStyle w:val="Compact"/>
              <w:jc w:val="left"/>
            </w:pPr>
            <w:r>
              <w:t xml:space="preserve">16.0x</w:t>
            </w:r>
          </w:p>
        </w:tc>
        <w:tc>
          <w:tcPr/>
          <w:p>
            <w:pPr>
              <w:pStyle w:val="Compact"/>
              <w:jc w:val="left"/>
            </w:pPr>
            <w:r>
              <w:t xml:space="preserve">11%</w:t>
            </w:r>
          </w:p>
        </w:tc>
        <w:tc>
          <w:tcPr/>
          <w:p>
            <w:pPr>
              <w:pStyle w:val="Compact"/>
              <w:jc w:val="left"/>
            </w:pPr>
            <w:r>
              <w:t xml:space="preserve">0.5</w:t>
            </w:r>
          </w:p>
        </w:tc>
        <w:tc>
          <w:tcPr/>
          <w:p>
            <w:pPr>
              <w:pStyle w:val="Compact"/>
              <w:jc w:val="left"/>
            </w:pPr>
            <w:r>
              <w:t xml:space="preserve">0.0%</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BALPHARMA</w:t>
            </w:r>
          </w:p>
        </w:tc>
        <w:tc>
          <w:tcPr/>
          <w:p>
            <w:pPr>
              <w:pStyle w:val="Compact"/>
              <w:jc w:val="left"/>
            </w:pPr>
            <w:r>
              <w:t xml:space="preserve">25.0x</w:t>
            </w:r>
          </w:p>
        </w:tc>
        <w:tc>
          <w:tcPr/>
          <w:p>
            <w:pPr>
              <w:pStyle w:val="Compact"/>
              <w:jc w:val="left"/>
            </w:pPr>
            <w:r>
              <w:t xml:space="preserve">9%</w:t>
            </w:r>
          </w:p>
        </w:tc>
        <w:tc>
          <w:tcPr/>
          <w:p>
            <w:pPr>
              <w:pStyle w:val="Compact"/>
              <w:jc w:val="left"/>
            </w:pPr>
            <w:r>
              <w:t xml:space="preserve">0.9</w:t>
            </w:r>
          </w:p>
        </w:tc>
        <w:tc>
          <w:tcPr/>
          <w:p>
            <w:pPr>
              <w:pStyle w:val="Compact"/>
              <w:jc w:val="left"/>
            </w:pPr>
            <w:r>
              <w:t xml:space="preserve">8.0%</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AMJLAND</w:t>
            </w:r>
          </w:p>
        </w:tc>
        <w:tc>
          <w:tcPr/>
          <w:p>
            <w:pPr>
              <w:pStyle w:val="Compact"/>
              <w:jc w:val="left"/>
            </w:pPr>
            <w:r>
              <w:t xml:space="preserve">NA</w:t>
            </w:r>
          </w:p>
        </w:tc>
        <w:tc>
          <w:tcPr/>
          <w:p>
            <w:pPr>
              <w:pStyle w:val="Compact"/>
              <w:jc w:val="left"/>
            </w:pPr>
            <w:r>
              <w:t xml:space="preserve">2%</w:t>
            </w:r>
          </w:p>
        </w:tc>
        <w:tc>
          <w:tcPr/>
          <w:p>
            <w:pPr>
              <w:pStyle w:val="Compact"/>
              <w:jc w:val="left"/>
            </w:pPr>
            <w:r>
              <w:t xml:space="preserve">1.8</w:t>
            </w:r>
          </w:p>
        </w:tc>
        <w:tc>
          <w:tcPr/>
          <w:p>
            <w:pPr>
              <w:pStyle w:val="Compact"/>
              <w:jc w:val="left"/>
            </w:pPr>
            <w:r>
              <w:t xml:space="preserve">18.0%</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AMDIND</w:t>
            </w:r>
          </w:p>
        </w:tc>
        <w:tc>
          <w:tcPr/>
          <w:p>
            <w:pPr>
              <w:pStyle w:val="Compact"/>
              <w:jc w:val="left"/>
            </w:pPr>
            <w:r>
              <w:t xml:space="preserve">30.0x</w:t>
            </w:r>
          </w:p>
        </w:tc>
        <w:tc>
          <w:tcPr/>
          <w:p>
            <w:pPr>
              <w:pStyle w:val="Compact"/>
              <w:jc w:val="left"/>
            </w:pPr>
            <w:r>
              <w:t xml:space="preserve">6%</w:t>
            </w:r>
          </w:p>
        </w:tc>
        <w:tc>
          <w:tcPr/>
          <w:p>
            <w:pPr>
              <w:pStyle w:val="Compact"/>
              <w:jc w:val="left"/>
            </w:pPr>
            <w:r>
              <w:t xml:space="preserve">1.2</w:t>
            </w:r>
          </w:p>
        </w:tc>
        <w:tc>
          <w:tcPr/>
          <w:p>
            <w:pPr>
              <w:pStyle w:val="Compact"/>
              <w:jc w:val="left"/>
            </w:pPr>
            <w:r>
              <w:t xml:space="preserve">10.0%</w:t>
            </w:r>
          </w:p>
        </w:tc>
        <w:tc>
          <w:tcPr/>
          <w:p>
            <w:pPr>
              <w:pStyle w:val="Compact"/>
              <w:jc w:val="left"/>
            </w:pPr>
            <w:r>
              <w:t xml:space="preserve">Weak</w:t>
            </w:r>
          </w:p>
        </w:tc>
        <w:tc>
          <w:tcPr/>
          <w:p>
            <w:pPr>
              <w:pStyle w:val="Compact"/>
              <w:jc w:val="left"/>
            </w:pPr>
            <w:r>
              <w:t xml:space="preserve">Avoid</w:t>
            </w:r>
          </w:p>
        </w:tc>
      </w:tr>
      <w:tr>
        <w:tc>
          <w:tcPr/>
          <w:p>
            <w:pPr>
              <w:pStyle w:val="Compact"/>
              <w:jc w:val="left"/>
            </w:pPr>
            <w:r>
              <w:t xml:space="preserve">TTKHLTCARE</w:t>
            </w:r>
          </w:p>
        </w:tc>
        <w:tc>
          <w:tcPr/>
          <w:p>
            <w:pPr>
              <w:pStyle w:val="Compact"/>
              <w:jc w:val="left"/>
            </w:pPr>
            <w:r>
              <w:t xml:space="preserve">40.0x</w:t>
            </w:r>
          </w:p>
        </w:tc>
        <w:tc>
          <w:tcPr/>
          <w:p>
            <w:pPr>
              <w:pStyle w:val="Compact"/>
              <w:jc w:val="left"/>
            </w:pPr>
            <w:r>
              <w:t xml:space="preserve">19%</w:t>
            </w:r>
          </w:p>
        </w:tc>
        <w:tc>
          <w:tcPr/>
          <w:p>
            <w:pPr>
              <w:pStyle w:val="Compact"/>
              <w:jc w:val="left"/>
            </w:pPr>
            <w:r>
              <w:t xml:space="preserve">0.2</w:t>
            </w:r>
          </w:p>
        </w:tc>
        <w:tc>
          <w:tcPr/>
          <w:p>
            <w:pPr>
              <w:pStyle w:val="Compact"/>
              <w:jc w:val="left"/>
            </w:pPr>
            <w:r>
              <w:t xml:space="preserve">0.0%</w:t>
            </w:r>
          </w:p>
        </w:tc>
        <w:tc>
          <w:tcPr/>
          <w:p>
            <w:pPr>
              <w:pStyle w:val="Compact"/>
              <w:jc w:val="left"/>
            </w:pPr>
            <w:r>
              <w:t xml:space="preserve">Moderate</w:t>
            </w:r>
          </w:p>
        </w:tc>
        <w:tc>
          <w:tcPr/>
          <w:p>
            <w:pPr>
              <w:pStyle w:val="Compact"/>
              <w:jc w:val="left"/>
            </w:pPr>
            <w:r>
              <w:t xml:space="preserve">Buy</w:t>
            </w:r>
          </w:p>
        </w:tc>
      </w:tr>
    </w:tbl>
    <w:p>
      <w:r>
        <w:pict>
          <v:rect style="width:0;height:1.5pt" o:hralign="center" o:hrstd="t" o:hr="t"/>
        </w:pict>
      </w:r>
    </w:p>
    <w:bookmarkEnd w:id="23"/>
    <w:bookmarkStart w:id="24" w:name="high-conviction-ideas-top-3"/>
    <w:p>
      <w:pPr>
        <w:pStyle w:val="Heading1"/>
      </w:pPr>
      <w:r>
        <w:t xml:space="preserve">High Conviction Ideas (Top 3)</w:t>
      </w:r>
    </w:p>
    <w:p>
      <w:pPr>
        <w:pStyle w:val="FirstParagraph"/>
      </w:pPr>
      <w:r>
        <w:t xml:space="preserve">These companies demonstrate superior</w:t>
      </w:r>
      <w:r>
        <w:t xml:space="preserve"> </w:t>
      </w:r>
      <w:r>
        <w:rPr>
          <w:bCs/>
          <w:b/>
        </w:rPr>
        <w:t xml:space="preserve">Capital Efficiency</w:t>
      </w:r>
      <w:r>
        <w:t xml:space="preserve">, robust</w:t>
      </w:r>
      <w:r>
        <w:t xml:space="preserve"> </w:t>
      </w:r>
      <w:r>
        <w:rPr>
          <w:bCs/>
          <w:b/>
        </w:rPr>
        <w:t xml:space="preserve">Moat Durability</w:t>
      </w:r>
      <w:r>
        <w:t xml:space="preserve">, and a compelling risk-reward profile, making them strategic buys for long-term alpha generation.</w:t>
      </w:r>
    </w:p>
    <w:p>
      <w:pPr>
        <w:numPr>
          <w:ilvl w:val="0"/>
          <w:numId w:val="1001"/>
        </w:numPr>
        <w:pStyle w:val="Compact"/>
      </w:pPr>
      <w:r>
        <w:rPr>
          <w:bCs/>
          <w:b/>
        </w:rPr>
        <w:t xml:space="preserve">KEI Industries (KEI)</w:t>
      </w:r>
    </w:p>
    <w:p>
      <w:pPr>
        <w:numPr>
          <w:ilvl w:val="1"/>
          <w:numId w:val="1002"/>
        </w:numPr>
        <w:pStyle w:val="Compact"/>
      </w:pPr>
      <w:r>
        <w:rPr>
          <w:bCs/>
          <w:b/>
        </w:rPr>
        <w:t xml:space="preserve">Cash Flow &amp; Capital Efficiency:</w:t>
      </w:r>
      <w:r>
        <w:t xml:space="preserve"> </w:t>
      </w:r>
      <w:r>
        <w:t xml:space="preserve">Consistently strong Operating Cash Flow (OCF) to EBITDA conversion (&gt;70%) and superior ROCE (&gt;20%) underscore excellent capital allocation. The asset-light distribution model and robust working capital management are key drivers.</w:t>
      </w:r>
    </w:p>
    <w:p>
      <w:pPr>
        <w:numPr>
          <w:ilvl w:val="1"/>
          <w:numId w:val="1002"/>
        </w:numPr>
        <w:pStyle w:val="Compact"/>
      </w:pPr>
      <w:r>
        <w:rPr>
          <w:bCs/>
          <w:b/>
        </w:rPr>
        <w:t xml:space="preserve">Moat:</w:t>
      </w:r>
      <w:r>
        <w:t xml:space="preserve"> </w:t>
      </w:r>
      <w:r>
        <w:t xml:space="preserve">Possesses a</w:t>
      </w:r>
      <w:r>
        <w:t xml:space="preserve"> </w:t>
      </w:r>
      <w:r>
        <w:rPr>
          <w:bCs/>
          <w:b/>
        </w:rPr>
        <w:t xml:space="preserve">Strong Moat</w:t>
      </w:r>
      <w:r>
        <w:t xml:space="preserve"> </w:t>
      </w:r>
      <w:r>
        <w:t xml:space="preserve">derived from its entrenched brand equity, extensive pan-India distribution network, and superior product quality in the Wires &amp; Cables segment. High customer stickiness (B2B projects) and strong dealer relationships create significant entry barriers. The shift towards higher-margin EHV cables and exports further strengthens its competitive position. This is not merely a commodity play; it’s a branded industrial leader.</w:t>
      </w:r>
    </w:p>
    <w:p>
      <w:pPr>
        <w:numPr>
          <w:ilvl w:val="1"/>
          <w:numId w:val="1002"/>
        </w:numPr>
        <w:pStyle w:val="Compact"/>
      </w:pPr>
      <w:r>
        <w:rPr>
          <w:bCs/>
          <w:b/>
        </w:rPr>
        <w:t xml:space="preserve">Valuation:</w:t>
      </w:r>
      <w:r>
        <w:t xml:space="preserve"> </w:t>
      </w:r>
      <w:r>
        <w:t xml:space="preserve">While P/E appears high, it is justified by its consistent growth trajectory (CAGR &gt; 15-20%), strong return ratios, and market leadership. We see headroom for multiple expansion driven by continued market share gains from unorganized players and government electrification initiatives. A PEG ratio analysis often reveals this to be a growth-at-reasonable-price proposition relative to peers.</w:t>
      </w:r>
    </w:p>
    <w:p>
      <w:pPr>
        <w:numPr>
          <w:ilvl w:val="0"/>
          <w:numId w:val="1001"/>
        </w:numPr>
        <w:pStyle w:val="Compact"/>
      </w:pPr>
      <w:r>
        <w:rPr>
          <w:bCs/>
          <w:b/>
        </w:rPr>
        <w:t xml:space="preserve">TTK Healthcare (TTKHLTCARE)</w:t>
      </w:r>
    </w:p>
    <w:p>
      <w:pPr>
        <w:numPr>
          <w:ilvl w:val="1"/>
          <w:numId w:val="1003"/>
        </w:numPr>
        <w:pStyle w:val="Compact"/>
      </w:pPr>
      <w:r>
        <w:rPr>
          <w:bCs/>
          <w:b/>
        </w:rPr>
        <w:t xml:space="preserve">Cash Flow &amp; Capital Efficiency:</w:t>
      </w:r>
      <w:r>
        <w:t xml:space="preserve"> </w:t>
      </w:r>
      <w:r>
        <w:t xml:space="preserve">Exhibiting healthy OCF/EBITDA ratios (&gt;65%) and an improving ROCE profile (&gt;18%). The demerger has allowed for sharper focus on core, higher-margin healthcare and consumer segments, enhancing capital allocation discipline. Minimal debt further strengthens its balance sheet.</w:t>
      </w:r>
    </w:p>
    <w:p>
      <w:pPr>
        <w:numPr>
          <w:ilvl w:val="1"/>
          <w:numId w:val="1003"/>
        </w:numPr>
        <w:pStyle w:val="Compact"/>
      </w:pPr>
      <w:r>
        <w:rPr>
          <w:bCs/>
          <w:b/>
        </w:rPr>
        <w:t xml:space="preserve">Moat:</w:t>
      </w:r>
      <w:r>
        <w:t xml:space="preserve"> </w:t>
      </w:r>
      <w:r>
        <w:t xml:space="preserve">Possesses a</w:t>
      </w:r>
      <w:r>
        <w:t xml:space="preserve"> </w:t>
      </w:r>
      <w:r>
        <w:rPr>
          <w:bCs/>
          <w:b/>
        </w:rPr>
        <w:t xml:space="preserve">Moderate Moat</w:t>
      </w:r>
      <w:r>
        <w:t xml:space="preserve">, transitioning towards Strong. Its established brand legacy in specific healthcare products (e.g., medical devices, pharma formulations) and consumer goods provides pricing power and distribution advantage. Diversification across segments (pharmaceuticals, consumer products, medical devices, animal welfare) reduces dependency on any single product line. The long-standing trust associated with the TTK brand provides a crucial competitive edge.</w:t>
      </w:r>
    </w:p>
    <w:p>
      <w:pPr>
        <w:numPr>
          <w:ilvl w:val="1"/>
          <w:numId w:val="1003"/>
        </w:numPr>
        <w:pStyle w:val="Compact"/>
      </w:pPr>
      <w:r>
        <w:rPr>
          <w:bCs/>
          <w:b/>
        </w:rPr>
        <w:t xml:space="preserve">Valuation:</w:t>
      </w:r>
      <w:r>
        <w:t xml:space="preserve"> </w:t>
      </w:r>
      <w:r>
        <w:t xml:space="preserve">The stock trades at a premium reflecting its brand strength and potential for accelerated growth post-restructuring. We believe the market is yet to fully price in the benefits of its strategic refocus and improved capital efficiency. The long-term growth story, driven by healthcare penetration and rising consumer aspirations, makes the current valuation attractive for a strategic long-term hold.</w:t>
      </w:r>
    </w:p>
    <w:p>
      <w:pPr>
        <w:numPr>
          <w:ilvl w:val="0"/>
          <w:numId w:val="1001"/>
        </w:numPr>
        <w:pStyle w:val="Compact"/>
      </w:pPr>
      <w:r>
        <w:rPr>
          <w:bCs/>
          <w:b/>
        </w:rPr>
        <w:t xml:space="preserve">AksharChem India (AKSHARCHEM)</w:t>
      </w:r>
    </w:p>
    <w:p>
      <w:pPr>
        <w:numPr>
          <w:ilvl w:val="1"/>
          <w:numId w:val="1004"/>
        </w:numPr>
        <w:pStyle w:val="Compact"/>
      </w:pPr>
      <w:r>
        <w:rPr>
          <w:bCs/>
          <w:b/>
        </w:rPr>
        <w:t xml:space="preserve">Cash Flow &amp; Capital Efficiency:</w:t>
      </w:r>
      <w:r>
        <w:t xml:space="preserve"> </w:t>
      </w:r>
      <w:r>
        <w:t xml:space="preserve">Demonstrates efficient capital deployment with a solid ROCE (&gt;15%) and consistent OCF generation. Its niche focus in specialty chemicals limits direct competition and allows for better pricing power, translating into strong margins. Low debt profile (D/E &lt;0.5) reflects prudent financial management.</w:t>
      </w:r>
    </w:p>
    <w:p>
      <w:pPr>
        <w:numPr>
          <w:ilvl w:val="1"/>
          <w:numId w:val="1004"/>
        </w:numPr>
        <w:pStyle w:val="Compact"/>
      </w:pPr>
      <w:r>
        <w:rPr>
          <w:bCs/>
          <w:b/>
        </w:rPr>
        <w:t xml:space="preserve">Moat:</w:t>
      </w:r>
      <w:r>
        <w:t xml:space="preserve"> </w:t>
      </w:r>
      <w:r>
        <w:t xml:space="preserve">Has a</w:t>
      </w:r>
      <w:r>
        <w:t xml:space="preserve"> </w:t>
      </w:r>
      <w:r>
        <w:rPr>
          <w:bCs/>
          <w:b/>
        </w:rPr>
        <w:t xml:space="preserve">Moderate Moat</w:t>
      </w:r>
      <w:r>
        <w:t xml:space="preserve"> </w:t>
      </w:r>
      <w:r>
        <w:t xml:space="preserve">built on its specialized product portfolio (reactive dyes, pigments, intermediates) and strong customer relationships in export markets. High switching costs for specific industrial applications and technical expertise act as barriers to entry. Focus on R&amp;D for new molecules and process efficiencies further reinforces its competitive edge. This is a classic</w:t>
      </w:r>
      <w:r>
        <w:t xml:space="preserve"> </w:t>
      </w:r>
      <w:r>
        <w:t xml:space="preserve">“</w:t>
      </w:r>
      <w:r>
        <w:t xml:space="preserve">picks and shovels</w:t>
      </w:r>
      <w:r>
        <w:t xml:space="preserve">”</w:t>
      </w:r>
      <w:r>
        <w:t xml:space="preserve"> </w:t>
      </w:r>
      <w:r>
        <w:t xml:space="preserve">play in the broader manufacturing theme.</w:t>
      </w:r>
    </w:p>
    <w:p>
      <w:pPr>
        <w:numPr>
          <w:ilvl w:val="1"/>
          <w:numId w:val="1004"/>
        </w:numPr>
        <w:pStyle w:val="Compact"/>
      </w:pPr>
      <w:r>
        <w:rPr>
          <w:bCs/>
          <w:b/>
        </w:rPr>
        <w:t xml:space="preserve">Valuation:</w:t>
      </w:r>
      <w:r>
        <w:t xml:space="preserve"> </w:t>
      </w:r>
      <w:r>
        <w:t xml:space="preserve">Trades at a reasonable P/E relative to its growth potential and strong return ratios. The company benefits from the</w:t>
      </w:r>
      <w:r>
        <w:t xml:space="preserve"> </w:t>
      </w:r>
      <w:r>
        <w:t xml:space="preserve">“</w:t>
      </w:r>
      <w:r>
        <w:t xml:space="preserve">China+1</w:t>
      </w:r>
      <w:r>
        <w:t xml:space="preserve">”</w:t>
      </w:r>
      <w:r>
        <w:t xml:space="preserve"> </w:t>
      </w:r>
      <w:r>
        <w:t xml:space="preserve">strategy, driving export demand for Indian specialty chemical manufacturers. We view this as an undervalued play within the industrials/chemicals segment, offering a compelling risk-reward for long-term accumulation.</w:t>
      </w:r>
    </w:p>
    <w:p>
      <w:r>
        <w:pict>
          <v:rect style="width:0;height:1.5pt" o:hralign="center" o:hrstd="t" o:hr="t"/>
        </w:pict>
      </w:r>
    </w:p>
    <w:bookmarkEnd w:id="24"/>
    <w:bookmarkStart w:id="25" w:name="red-flags-avoids"/>
    <w:p>
      <w:pPr>
        <w:pStyle w:val="Heading1"/>
      </w:pPr>
      <w:r>
        <w:t xml:space="preserve">Red Flags &amp; Avoids</w:t>
      </w:r>
    </w:p>
    <w:p>
      <w:pPr>
        <w:pStyle w:val="FirstParagraph"/>
      </w:pPr>
      <w:r>
        <w:t xml:space="preserve">We flag companies exhibiting critical structural weaknesses, poor corporate governance indicators, or destructive capital allocation, deeming them outright</w:t>
      </w:r>
      <w:r>
        <w:t xml:space="preserve"> </w:t>
      </w:r>
      <w:r>
        <w:rPr>
          <w:bCs/>
          <w:b/>
        </w:rPr>
        <w:t xml:space="preserve">AVOIDS</w:t>
      </w:r>
      <w:r>
        <w:t xml:space="preserve">.</w:t>
      </w:r>
    </w:p>
    <w:p>
      <w:pPr>
        <w:numPr>
          <w:ilvl w:val="0"/>
          <w:numId w:val="1005"/>
        </w:numPr>
        <w:pStyle w:val="Compact"/>
      </w:pPr>
      <w:r>
        <w:rPr>
          <w:bCs/>
          <w:b/>
        </w:rPr>
        <w:t xml:space="preserve">Pledge Traps (&gt;10% Pledge):</w:t>
      </w:r>
    </w:p>
    <w:p>
      <w:pPr>
        <w:numPr>
          <w:ilvl w:val="1"/>
          <w:numId w:val="1006"/>
        </w:numPr>
        <w:pStyle w:val="Compact"/>
      </w:pPr>
      <w:r>
        <w:rPr>
          <w:bCs/>
          <w:b/>
        </w:rPr>
        <w:t xml:space="preserve">TERASOFT (15.0% Pledge):</w:t>
      </w:r>
      <w:r>
        <w:t xml:space="preserve"> </w:t>
      </w:r>
      <w:r>
        <w:t xml:space="preserve">High promoter pledging often signals liquidity issues for promoters or concerns about the company’s financial health, increasing stock volatility and risk. Coupled with high debt and poor profitability, this is a clear</w:t>
      </w:r>
      <w:r>
        <w:t xml:space="preserve"> </w:t>
      </w:r>
      <w:r>
        <w:rPr>
          <w:bCs/>
          <w:b/>
        </w:rPr>
        <w:t xml:space="preserve">Avoid</w:t>
      </w:r>
      <w:r>
        <w:t xml:space="preserve">.</w:t>
      </w:r>
    </w:p>
    <w:p>
      <w:pPr>
        <w:numPr>
          <w:ilvl w:val="1"/>
          <w:numId w:val="1006"/>
        </w:numPr>
        <w:pStyle w:val="Compact"/>
      </w:pPr>
      <w:r>
        <w:rPr>
          <w:bCs/>
          <w:b/>
        </w:rPr>
        <w:t xml:space="preserve">PANACHE (12.0% Pledge):</w:t>
      </w:r>
      <w:r>
        <w:t xml:space="preserve"> </w:t>
      </w:r>
      <w:r>
        <w:t xml:space="preserve">Similar concerns. A high pledge ratio combined with a weak business moat and high debt indicates significant red flags.</w:t>
      </w:r>
      <w:r>
        <w:t xml:space="preserve"> </w:t>
      </w:r>
      <w:r>
        <w:rPr>
          <w:bCs/>
          <w:b/>
        </w:rPr>
        <w:t xml:space="preserve">Avoid</w:t>
      </w:r>
      <w:r>
        <w:t xml:space="preserve">.</w:t>
      </w:r>
    </w:p>
    <w:p>
      <w:pPr>
        <w:numPr>
          <w:ilvl w:val="1"/>
          <w:numId w:val="1006"/>
        </w:numPr>
        <w:pStyle w:val="Compact"/>
      </w:pPr>
      <w:r>
        <w:rPr>
          <w:bCs/>
          <w:b/>
        </w:rPr>
        <w:t xml:space="preserve">AMJLAND (18.0% Pledge):</w:t>
      </w:r>
      <w:r>
        <w:t xml:space="preserve"> </w:t>
      </w:r>
      <w:r>
        <w:t xml:space="preserve">Extremely high pledge and an asset-heavy, opaque business model in real estate/holding make this a prime candidate for capital destruction.</w:t>
      </w:r>
      <w:r>
        <w:t xml:space="preserve"> </w:t>
      </w:r>
      <w:r>
        <w:rPr>
          <w:bCs/>
          <w:b/>
        </w:rPr>
        <w:t xml:space="preserve">Avoid</w:t>
      </w:r>
      <w:r>
        <w:t xml:space="preserve">.</w:t>
      </w:r>
    </w:p>
    <w:p>
      <w:pPr>
        <w:numPr>
          <w:ilvl w:val="1"/>
          <w:numId w:val="1006"/>
        </w:numPr>
        <w:pStyle w:val="Compact"/>
      </w:pPr>
      <w:r>
        <w:rPr>
          <w:bCs/>
          <w:b/>
        </w:rPr>
        <w:t xml:space="preserve">AMDIND (10.0% Pledge):</w:t>
      </w:r>
      <w:r>
        <w:t xml:space="preserve"> </w:t>
      </w:r>
      <w:r>
        <w:t xml:space="preserve">On the cusp, but when combined with high debt and persistently low ROCE, it raises significant concerns about long-term value creation.</w:t>
      </w:r>
      <w:r>
        <w:t xml:space="preserve"> </w:t>
      </w:r>
      <w:r>
        <w:rPr>
          <w:bCs/>
          <w:b/>
        </w:rPr>
        <w:t xml:space="preserve">Avoid</w:t>
      </w:r>
      <w:r>
        <w:t xml:space="preserve">.</w:t>
      </w:r>
    </w:p>
    <w:p>
      <w:pPr>
        <w:numPr>
          <w:ilvl w:val="1"/>
          <w:numId w:val="1006"/>
        </w:numPr>
        <w:pStyle w:val="Compact"/>
      </w:pPr>
      <w:r>
        <w:rPr>
          <w:bCs/>
          <w:b/>
        </w:rPr>
        <w:t xml:space="preserve">GOLDENTOBC (25.0% Pledge):</w:t>
      </w:r>
      <w:r>
        <w:t xml:space="preserve"> </w:t>
      </w:r>
      <w:r>
        <w:t xml:space="preserve">A quintessential example of a pledge trap coupled with a dying business.</w:t>
      </w:r>
      <w:r>
        <w:t xml:space="preserve"> </w:t>
      </w:r>
      <w:r>
        <w:rPr>
          <w:bCs/>
          <w:b/>
        </w:rPr>
        <w:t xml:space="preserve">Avoid</w:t>
      </w:r>
      <w:r>
        <w:t xml:space="preserve">.</w:t>
      </w:r>
    </w:p>
    <w:p>
      <w:pPr>
        <w:numPr>
          <w:ilvl w:val="0"/>
          <w:numId w:val="1005"/>
        </w:numPr>
        <w:pStyle w:val="Compact"/>
      </w:pPr>
      <w:r>
        <w:rPr>
          <w:bCs/>
          <w:b/>
        </w:rPr>
        <w:t xml:space="preserve">Capital Destroyers &amp; Weak Fundamentals:</w:t>
      </w:r>
    </w:p>
    <w:p>
      <w:pPr>
        <w:numPr>
          <w:ilvl w:val="1"/>
          <w:numId w:val="1007"/>
        </w:numPr>
        <w:pStyle w:val="Compact"/>
      </w:pPr>
      <w:r>
        <w:rPr>
          <w:bCs/>
          <w:b/>
        </w:rPr>
        <w:t xml:space="preserve">TERASOFT, GOLDENTOBC, AMJLAND, MANAKSIA, PANACHE, BALPHARMA, AMDIND, BHAGCHEM:</w:t>
      </w:r>
      <w:r>
        <w:t xml:space="preserve"> </w:t>
      </w:r>
      <w:r>
        <w:t xml:space="preserve">These companies consistently exhibit one or more of the following:</w:t>
      </w:r>
    </w:p>
    <w:p>
      <w:pPr>
        <w:numPr>
          <w:ilvl w:val="2"/>
          <w:numId w:val="1008"/>
        </w:numPr>
        <w:pStyle w:val="Compact"/>
      </w:pPr>
      <w:r>
        <w:rPr>
          <w:bCs/>
          <w:b/>
        </w:rPr>
        <w:t xml:space="preserve">Persistently Low/Negative ROCE:</w:t>
      </w:r>
      <w:r>
        <w:t xml:space="preserve"> </w:t>
      </w:r>
      <w:r>
        <w:t xml:space="preserve">Indicative of inefficient capital deployment and an inability to generate returns above the cost of capital.</w:t>
      </w:r>
    </w:p>
    <w:p>
      <w:pPr>
        <w:numPr>
          <w:ilvl w:val="2"/>
          <w:numId w:val="1008"/>
        </w:numPr>
        <w:pStyle w:val="Compact"/>
      </w:pPr>
      <w:r>
        <w:rPr>
          <w:bCs/>
          <w:b/>
        </w:rPr>
        <w:t xml:space="preserve">High Debt/Equity Ratio (often &gt;1.0):</w:t>
      </w:r>
      <w:r>
        <w:t xml:space="preserve"> </w:t>
      </w:r>
      <w:r>
        <w:t xml:space="preserve">Signifies excessive leverage, increasing financial risk and vulnerability to interest rate fluctuations.</w:t>
      </w:r>
    </w:p>
    <w:p>
      <w:pPr>
        <w:numPr>
          <w:ilvl w:val="2"/>
          <w:numId w:val="1008"/>
        </w:numPr>
        <w:pStyle w:val="Compact"/>
      </w:pPr>
      <w:r>
        <w:rPr>
          <w:bCs/>
          <w:b/>
        </w:rPr>
        <w:t xml:space="preserve">Negative or Anemic Cash Flow Generation:</w:t>
      </w:r>
      <w:r>
        <w:t xml:space="preserve"> </w:t>
      </w:r>
      <w:r>
        <w:t xml:space="preserve">A business that cannot generate sufficient operating cash flow is fundamentally flawed and reliant on external funding.</w:t>
      </w:r>
    </w:p>
    <w:p>
      <w:pPr>
        <w:numPr>
          <w:ilvl w:val="2"/>
          <w:numId w:val="1008"/>
        </w:numPr>
        <w:pStyle w:val="Compact"/>
      </w:pPr>
      <w:r>
        <w:rPr>
          <w:bCs/>
          <w:b/>
        </w:rPr>
        <w:t xml:space="preserve">Eroding/Non-Existent Moat:</w:t>
      </w:r>
      <w:r>
        <w:t xml:space="preserve"> </w:t>
      </w:r>
      <w:r>
        <w:t xml:space="preserve">Operating in highly competitive, commoditized segments with no discernible competitive advantage, making them price takers.</w:t>
      </w:r>
    </w:p>
    <w:p>
      <w:pPr>
        <w:numPr>
          <w:ilvl w:val="2"/>
          <w:numId w:val="1008"/>
        </w:numPr>
        <w:pStyle w:val="Compact"/>
      </w:pPr>
      <w:r>
        <w:rPr>
          <w:bCs/>
          <w:b/>
        </w:rPr>
        <w:t xml:space="preserve">Unclear Business Strategy/Corporate Governance Concerns:</w:t>
      </w:r>
      <w:r>
        <w:t xml:space="preserve"> </w:t>
      </w:r>
      <w:r>
        <w:t xml:space="preserve">Lack of transparency or consistent strategic direction, often seen in legacy businesses or holding structures.</w:t>
      </w:r>
    </w:p>
    <w:p>
      <w:r>
        <w:pict>
          <v:rect style="width:0;height:1.5pt" o:hralign="center" o:hrstd="t" o:hr="t"/>
        </w:pict>
      </w:r>
    </w:p>
    <w:bookmarkEnd w:id="25"/>
    <w:bookmarkStart w:id="26" w:name="investment-verdicts"/>
    <w:p>
      <w:pPr>
        <w:pStyle w:val="Heading1"/>
      </w:pPr>
      <w:r>
        <w:t xml:space="preserve">Investment Verdicts</w:t>
      </w:r>
    </w:p>
    <w:p>
      <w:pPr>
        <w:pStyle w:val="FirstParagraph"/>
      </w:pPr>
      <w:r>
        <w:t xml:space="preserve">Our decisive verdicts, reflecting a ruthless analytical stance focused on</w:t>
      </w:r>
      <w:r>
        <w:t xml:space="preserve"> </w:t>
      </w:r>
      <w:r>
        <w:rPr>
          <w:bCs/>
          <w:b/>
        </w:rPr>
        <w:t xml:space="preserve">Capital Efficiency</w:t>
      </w:r>
      <w:r>
        <w:t xml:space="preserve"> </w:t>
      </w:r>
      <w:r>
        <w:t xml:space="preserve">and</w:t>
      </w:r>
      <w:r>
        <w:t xml:space="preserve"> </w:t>
      </w:r>
      <w:r>
        <w:rPr>
          <w:bCs/>
          <w:b/>
        </w:rPr>
        <w:t xml:space="preserve">Moat Durability</w:t>
      </w:r>
      <w:r>
        <w:t xml:space="preserve">.</w:t>
      </w:r>
    </w:p>
    <w:p>
      <w:pPr>
        <w:numPr>
          <w:ilvl w:val="0"/>
          <w:numId w:val="1009"/>
        </w:numPr>
        <w:pStyle w:val="Compact"/>
      </w:pPr>
      <w:r>
        <w:rPr>
          <w:bCs/>
          <w:b/>
        </w:rPr>
        <w:t xml:space="preserve">Tier 1 (Strategic Buys):</w:t>
      </w:r>
      <w:r>
        <w:t xml:space="preserve"> </w:t>
      </w:r>
      <w:r>
        <w:t xml:space="preserve">These are our high-conviction plays, demonstrating strong fundamentals, durable moats, and compelling valuation for strategic long-term portfolio allocation.</w:t>
      </w:r>
    </w:p>
    <w:p>
      <w:pPr>
        <w:numPr>
          <w:ilvl w:val="1"/>
          <w:numId w:val="1010"/>
        </w:numPr>
        <w:pStyle w:val="Compact"/>
      </w:pPr>
      <w:r>
        <w:rPr>
          <w:bCs/>
          <w:b/>
        </w:rPr>
        <w:t xml:space="preserve">KEI Industries (KEI)</w:t>
      </w:r>
    </w:p>
    <w:p>
      <w:pPr>
        <w:numPr>
          <w:ilvl w:val="1"/>
          <w:numId w:val="1010"/>
        </w:numPr>
        <w:pStyle w:val="Compact"/>
      </w:pPr>
      <w:r>
        <w:rPr>
          <w:bCs/>
          <w:b/>
        </w:rPr>
        <w:t xml:space="preserve">TTK Healthcare (TTKHLTCARE)</w:t>
      </w:r>
    </w:p>
    <w:p>
      <w:pPr>
        <w:numPr>
          <w:ilvl w:val="1"/>
          <w:numId w:val="1010"/>
        </w:numPr>
        <w:pStyle w:val="Compact"/>
      </w:pPr>
      <w:r>
        <w:rPr>
          <w:bCs/>
          <w:b/>
        </w:rPr>
        <w:t xml:space="preserve">AksharChem India (AKSHARCHEM)</w:t>
      </w:r>
    </w:p>
    <w:p>
      <w:pPr>
        <w:numPr>
          <w:ilvl w:val="0"/>
          <w:numId w:val="1009"/>
        </w:numPr>
        <w:pStyle w:val="Compact"/>
      </w:pPr>
      <w:r>
        <w:rPr>
          <w:bCs/>
          <w:b/>
        </w:rPr>
        <w:t xml:space="preserve">Tier 2 (Accumulate):</w:t>
      </w:r>
      <w:r>
        <w:t xml:space="preserve"> </w:t>
      </w:r>
      <w:r>
        <w:t xml:space="preserve">Companies with solid businesses and reasonable prospects, but perhaps facing some cyclical headwinds, fair valuation, or requiring closer monitoring of execution. Opportunities for gradual accumulation on dips.</w:t>
      </w:r>
    </w:p>
    <w:p>
      <w:pPr>
        <w:numPr>
          <w:ilvl w:val="1"/>
          <w:numId w:val="1011"/>
        </w:numPr>
        <w:pStyle w:val="Compact"/>
      </w:pPr>
      <w:r>
        <w:rPr>
          <w:bCs/>
          <w:b/>
        </w:rPr>
        <w:t xml:space="preserve">AEGIS Logistics (AEGISLOG):</w:t>
      </w:r>
      <w:r>
        <w:t xml:space="preserve"> </w:t>
      </w:r>
      <w:r>
        <w:t xml:space="preserve">Strong Infra play, but valuation at current levels warrants careful entry.</w:t>
      </w:r>
    </w:p>
    <w:p>
      <w:pPr>
        <w:numPr>
          <w:ilvl w:val="1"/>
          <w:numId w:val="1011"/>
        </w:numPr>
        <w:pStyle w:val="Compact"/>
      </w:pPr>
      <w:r>
        <w:rPr>
          <w:bCs/>
          <w:b/>
        </w:rPr>
        <w:t xml:space="preserve">Tata Technologies (TATATECH):</w:t>
      </w:r>
      <w:r>
        <w:t xml:space="preserve"> </w:t>
      </w:r>
      <w:r>
        <w:t xml:space="preserve">Exceptional growth and strong brand</w:t>
      </w:r>
      <w:r>
        <w:t xml:space="preserve"> </w:t>
      </w:r>
      <w:r>
        <w:rPr>
          <w:bCs/>
          <w:b/>
        </w:rPr>
        <w:t xml:space="preserve">Sovereign Moat</w:t>
      </w:r>
      <w:r>
        <w:t xml:space="preserve"> </w:t>
      </w:r>
      <w:r>
        <w:t xml:space="preserve">due to Tata Group backing, but post-IPO valuation is stretched, necessitating accumulation on significant corrections.</w:t>
      </w:r>
    </w:p>
    <w:p>
      <w:pPr>
        <w:numPr>
          <w:ilvl w:val="1"/>
          <w:numId w:val="1011"/>
        </w:numPr>
        <w:pStyle w:val="Compact"/>
      </w:pPr>
      <w:r>
        <w:rPr>
          <w:bCs/>
          <w:b/>
        </w:rPr>
        <w:t xml:space="preserve">Engineers India (ENGINERSIN):</w:t>
      </w:r>
      <w:r>
        <w:t xml:space="preserve"> </w:t>
      </w:r>
      <w:r>
        <w:t xml:space="preserve">A stable PSU with a</w:t>
      </w:r>
      <w:r>
        <w:t xml:space="preserve"> </w:t>
      </w:r>
      <w:r>
        <w:rPr>
          <w:bCs/>
          <w:b/>
        </w:rPr>
        <w:t xml:space="preserve">Sovereign Moat</w:t>
      </w:r>
      <w:r>
        <w:t xml:space="preserve"> </w:t>
      </w:r>
      <w:r>
        <w:t xml:space="preserve">in a niche consulting space. Excellent balance sheet (debt-free) and consistent dividends, but growth trajectory is often limited by government project cycles.</w:t>
      </w:r>
    </w:p>
    <w:p>
      <w:pPr>
        <w:numPr>
          <w:ilvl w:val="1"/>
          <w:numId w:val="1011"/>
        </w:numPr>
        <w:pStyle w:val="Compact"/>
      </w:pPr>
      <w:r>
        <w:rPr>
          <w:bCs/>
          <w:b/>
        </w:rPr>
        <w:t xml:space="preserve">Steel Authority of India (STEELCAS):</w:t>
      </w:r>
      <w:r>
        <w:t xml:space="preserve"> </w:t>
      </w:r>
      <w:r>
        <w:t xml:space="preserve">Commodity cyclical, benefits from infra super-cycle. A</w:t>
      </w:r>
      <w:r>
        <w:t xml:space="preserve"> </w:t>
      </w:r>
      <w:r>
        <w:rPr>
          <w:bCs/>
          <w:b/>
        </w:rPr>
        <w:t xml:space="preserve">Sovereign Moat</w:t>
      </w:r>
      <w:r>
        <w:t xml:space="preserve"> </w:t>
      </w:r>
      <w:r>
        <w:t xml:space="preserve">due to PSU status, but earnings are highly volatile. Accumulate on significant dips in the cycle.</w:t>
      </w:r>
    </w:p>
    <w:p>
      <w:pPr>
        <w:numPr>
          <w:ilvl w:val="0"/>
          <w:numId w:val="1009"/>
        </w:numPr>
        <w:pStyle w:val="Compact"/>
      </w:pPr>
      <w:r>
        <w:rPr>
          <w:bCs/>
          <w:b/>
        </w:rPr>
        <w:t xml:space="preserve">Tier 3 (Avoid):</w:t>
      </w:r>
      <w:r>
        <w:t xml:space="preserve"> </w:t>
      </w:r>
      <w:r>
        <w:t xml:space="preserve">Businesses characterized by weak fundamentals, high leverage, questionable corporate governance, eroding moats, or consistently poor capital allocation. These are capital destroyers and should be divested or entirely avoided.</w:t>
      </w:r>
    </w:p>
    <w:p>
      <w:pPr>
        <w:numPr>
          <w:ilvl w:val="1"/>
          <w:numId w:val="1012"/>
        </w:numPr>
        <w:pStyle w:val="Compact"/>
      </w:pPr>
      <w:r>
        <w:rPr>
          <w:bCs/>
          <w:b/>
        </w:rPr>
        <w:t xml:space="preserve">MANAKSIA</w:t>
      </w:r>
    </w:p>
    <w:p>
      <w:pPr>
        <w:numPr>
          <w:ilvl w:val="1"/>
          <w:numId w:val="1012"/>
        </w:numPr>
        <w:pStyle w:val="Compact"/>
      </w:pPr>
      <w:r>
        <w:rPr>
          <w:bCs/>
          <w:b/>
        </w:rPr>
        <w:t xml:space="preserve">TERASOFT</w:t>
      </w:r>
    </w:p>
    <w:p>
      <w:pPr>
        <w:numPr>
          <w:ilvl w:val="1"/>
          <w:numId w:val="1012"/>
        </w:numPr>
        <w:pStyle w:val="Compact"/>
      </w:pPr>
      <w:r>
        <w:rPr>
          <w:bCs/>
          <w:b/>
        </w:rPr>
        <w:t xml:space="preserve">PANACHE</w:t>
      </w:r>
    </w:p>
    <w:p>
      <w:pPr>
        <w:numPr>
          <w:ilvl w:val="1"/>
          <w:numId w:val="1012"/>
        </w:numPr>
        <w:pStyle w:val="Compact"/>
      </w:pPr>
      <w:r>
        <w:rPr>
          <w:bCs/>
          <w:b/>
        </w:rPr>
        <w:t xml:space="preserve">GOLDENTOBC</w:t>
      </w:r>
    </w:p>
    <w:p>
      <w:pPr>
        <w:numPr>
          <w:ilvl w:val="1"/>
          <w:numId w:val="1012"/>
        </w:numPr>
        <w:pStyle w:val="Compact"/>
      </w:pPr>
      <w:r>
        <w:rPr>
          <w:bCs/>
          <w:b/>
        </w:rPr>
        <w:t xml:space="preserve">BHAGCHEM</w:t>
      </w:r>
    </w:p>
    <w:p>
      <w:pPr>
        <w:numPr>
          <w:ilvl w:val="1"/>
          <w:numId w:val="1012"/>
        </w:numPr>
        <w:pStyle w:val="Compact"/>
      </w:pPr>
      <w:r>
        <w:rPr>
          <w:bCs/>
          <w:b/>
        </w:rPr>
        <w:t xml:space="preserve">BALPHARMA</w:t>
      </w:r>
    </w:p>
    <w:p>
      <w:pPr>
        <w:numPr>
          <w:ilvl w:val="1"/>
          <w:numId w:val="1012"/>
        </w:numPr>
        <w:pStyle w:val="Compact"/>
      </w:pPr>
      <w:r>
        <w:rPr>
          <w:bCs/>
          <w:b/>
        </w:rPr>
        <w:t xml:space="preserve">AMJLAND</w:t>
      </w:r>
    </w:p>
    <w:p>
      <w:pPr>
        <w:numPr>
          <w:ilvl w:val="1"/>
          <w:numId w:val="1012"/>
        </w:numPr>
        <w:pStyle w:val="Compact"/>
      </w:pPr>
      <w:r>
        <w:rPr>
          <w:bCs/>
          <w:b/>
        </w:rPr>
        <w:t xml:space="preserve">AMDIND</w:t>
      </w:r>
    </w:p>
    <w:p>
      <w:r>
        <w:pict>
          <v:rect style="width:0;height:1.5pt" o:hralign="center" o:hrstd="t" o:hr="t"/>
        </w:pic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Equity Research Report</dc:title>
  <dc:creator>AI Research Desk</dc:creator>
  <cp:keywords/>
  <dcterms:created xsi:type="dcterms:W3CDTF">2025-12-11T07:33:53Z</dcterms:created>
  <dcterms:modified xsi:type="dcterms:W3CDTF">2025-12-11T07:33:53Z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2025-12-11</vt:lpwstr>
  </property>
</Properties>
</file>