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6562F"/>
          <w:sz w:val="18"/>
          <w:szCs w:val="18"/>
        </w:rPr>
        <w:t xml:space="preserve">MARKET RESEARCH BRIEF</w:t>
      </w:r>
    </w:p>
    <w:p>
      <w:pPr>
        <w:spacing w:after="100"/>
      </w:pPr>
      <w:r>
        <w:rPr>
          <w:b/>
          <w:bCs/>
          <w:color w:val="1F2D3D"/>
          <w:sz w:val="40"/>
          <w:szCs w:val="40"/>
        </w:rPr>
        <w:t xml:space="preserve">The Independent Film Streaming Market</w:t>
      </w:r>
    </w:p>
    <w:p>
      <w:pPr>
        <w:spacing w:after="320"/>
      </w:pPr>
      <w:r>
        <w:rPr>
          <w:i/>
          <w:iCs/>
          <w:color w:val="5A5A5A"/>
          <w:sz w:val="23"/>
          <w:szCs w:val="23"/>
        </w:rPr>
        <w:t xml:space="preserve">Trends, Competitive Positioning, and Growth Opportunities for Series A Diligence</w:t>
      </w:r>
    </w:p>
    <w:p>
      <w:pPr>
        <w:pBdr>
          <w:bottom w:val="single" w:color="D8D2C7" w:sz="4" w:space="1"/>
        </w:pBdr>
        <w:spacing w:after="240" w:before="120"/>
      </w:pPr>
      <w:r>
        <w:t xml:space="preserve"/>
      </w:r>
    </w:p>
    <w:p>
      <w:pPr>
        <w:pStyle w:val="Heading1"/>
      </w:pPr>
      <w:r>
        <w:t xml:space="preserve">Executive Summary</w:t>
      </w:r>
    </w:p>
    <w:p>
      <w:pPr>
        <w:spacing w:after="120" w:line="264"/>
      </w:pPr>
      <w:r>
        <w:rPr>
          <w:color w:val="232323"/>
          <w:sz w:val="20"/>
          <w:szCs w:val="20"/>
        </w:rPr>
        <w:t xml:space="preserve">The independent film streaming category sits at a structural inflection point. The global independent film market is valued at roughly $8.6 billion in 2025, on a path to $15.4 billion by 2034 (6.7% CAGR), and streaming has overtaken theatrical as the primary distribution channel, now accounting for an estimated 41.8% of independent film distribution revenue worldwide. At the same time, the broader video streaming market is consolidating around bundling and ad-supported tiers, creating both headwinds and a clear strategic lane for a disciplined, niche-focused entrant.</w:t>
      </w:r>
    </w:p>
    <w:p>
      <w:pPr>
        <w:spacing w:after="120" w:line="264"/>
      </w:pPr>
      <w:r>
        <w:rPr>
          <w:color w:val="232323"/>
          <w:sz w:val="20"/>
          <w:szCs w:val="20"/>
        </w:rPr>
        <w:t xml:space="preserve">Three forces define the opportunity. First, demand is proven but underserved: independent research backed by the Sundance Institute found that while only an estimated 36.7 million Americans currently pay for indie film and documentary content, as many as 77 million would be willing to — a 40-million-person gap that incumbents have not closed. Second, the incumbent niche leader, MUBI, has demonstrated both the ceiling and the fragility of the category: it reached a record 1.7 million subscribers in Q1 2026 after a reputational crisis cost it 200,000 subscribers in 2025, underscoring that brand trust and curatorial integrity are existential, not cosmetic, assets in this market. Third, monetization is shifting decisively toward hybrid models — subscription plus advertising plus FAST (free ad-supported television) — as subscription fatigue pushes consumers toward bundles and ad tiers across the wider streaming industry.</w:t>
      </w:r>
    </w:p>
    <w:p>
      <w:pPr>
        <w:spacing w:after="120" w:line="264"/>
      </w:pPr>
      <w:r>
        <w:rPr>
          <w:color w:val="232323"/>
          <w:sz w:val="20"/>
          <w:szCs w:val="20"/>
        </w:rPr>
        <w:t xml:space="preserve">For an indie-focused entrant, the most credible path to scale is not a head-on subscription battle with MUBI or the deep-pocketed AVOD giants, but a hybrid model that combines a curated paid tier with free, ad-supported discovery, deepens cultural credibility through festival and distributor partnerships, and targets the large underserved segment of viewers who want premium independent content without subscription overload. The sections below detail the market sizing, competitive landscape, and the highest-leverage growth opportunities for the Series A narrative.</w:t>
      </w:r>
    </w:p>
    <w:p>
      <w:pPr>
        <w:spacing w:after="160" w:before="120"/>
      </w:pPr>
      <w:r>
        <w:rPr>
          <w:b/>
          <w:bCs/>
          <w:color w:val="1F2D3D"/>
          <w:sz w:val="21"/>
          <w:szCs w:val="21"/>
        </w:rPr>
        <w:t xml:space="preserve">Key figures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2C7" w:sz="1"/>
              <w:left w:val="single" w:color="D8D2C7" w:sz="1"/>
              <w:bottom w:val="single" w:color="D8D2C7" w:sz="1"/>
              <w:right w:val="single" w:color="D8D2C7" w:sz="1"/>
            </w:tcBorders>
            <w:shd w:fill="F2EFEA" w:val="clear"/>
            <w:tcMar>
              <w:top w:type="dxa" w:w="160"/>
              <w:left w:type="dxa" w:w="140"/>
              <w:bottom w:type="dxa" w:w="160"/>
              <w:right w:type="dxa" w:w="140"/>
            </w:tcMar>
          </w:tcPr>
          <w:p>
            <w:pPr>
              <w:spacing w:after="60"/>
              <w:jc w:val="center"/>
            </w:pPr>
            <w:r>
              <w:rPr>
                <w:b/>
                <w:bCs/>
                <w:color w:val="B6562F"/>
                <w:sz w:val="30"/>
                <w:szCs w:val="30"/>
              </w:rPr>
              <w:t xml:space="preserve">$8.6B</w:t>
            </w:r>
          </w:p>
          <w:p>
            <w:pPr>
              <w:jc w:val="center"/>
            </w:pPr>
            <w:r>
              <w:rPr>
                <w:color w:val="5A5A5A"/>
                <w:sz w:val="17"/>
                <w:szCs w:val="17"/>
              </w:rPr>
              <w:t xml:space="preserve">Global indie film market size, 2025</w:t>
            </w:r>
          </w:p>
        </w:tc>
        <w:tc>
          <w:tcPr>
            <w:tcW w:type="dxa" w:w="3120"/>
            <w:tcBorders>
              <w:top w:val="single" w:color="D8D2C7" w:sz="1"/>
              <w:left w:val="single" w:color="D8D2C7" w:sz="1"/>
              <w:bottom w:val="single" w:color="D8D2C7" w:sz="1"/>
              <w:right w:val="single" w:color="D8D2C7" w:sz="1"/>
            </w:tcBorders>
            <w:shd w:fill="F2EFEA" w:val="clear"/>
            <w:tcMar>
              <w:top w:type="dxa" w:w="160"/>
              <w:left w:type="dxa" w:w="140"/>
              <w:bottom w:type="dxa" w:w="160"/>
              <w:right w:type="dxa" w:w="140"/>
            </w:tcMar>
          </w:tcPr>
          <w:p>
            <w:pPr>
              <w:spacing w:after="60"/>
              <w:jc w:val="center"/>
            </w:pPr>
            <w:r>
              <w:rPr>
                <w:b/>
                <w:bCs/>
                <w:color w:val="B6562F"/>
                <w:sz w:val="30"/>
                <w:szCs w:val="30"/>
              </w:rPr>
              <w:t xml:space="preserve">41.8%</w:t>
            </w:r>
          </w:p>
          <w:p>
            <w:pPr>
              <w:jc w:val="center"/>
            </w:pPr>
            <w:r>
              <w:rPr>
                <w:color w:val="5A5A5A"/>
                <w:sz w:val="17"/>
                <w:szCs w:val="17"/>
              </w:rPr>
              <w:t xml:space="preserve">Share of indie distribution revenue from streaming</w:t>
            </w:r>
          </w:p>
        </w:tc>
        <w:tc>
          <w:tcPr>
            <w:tcW w:type="dxa" w:w="3120"/>
            <w:tcBorders>
              <w:top w:val="single" w:color="D8D2C7" w:sz="1"/>
              <w:left w:val="single" w:color="D8D2C7" w:sz="1"/>
              <w:bottom w:val="single" w:color="D8D2C7" w:sz="1"/>
              <w:right w:val="single" w:color="D8D2C7" w:sz="1"/>
            </w:tcBorders>
            <w:shd w:fill="F2EFEA" w:val="clear"/>
            <w:tcMar>
              <w:top w:type="dxa" w:w="160"/>
              <w:left w:type="dxa" w:w="140"/>
              <w:bottom w:type="dxa" w:w="160"/>
              <w:right w:type="dxa" w:w="140"/>
            </w:tcMar>
          </w:tcPr>
          <w:p>
            <w:pPr>
              <w:spacing w:after="60"/>
              <w:jc w:val="center"/>
            </w:pPr>
            <w:r>
              <w:rPr>
                <w:b/>
                <w:bCs/>
                <w:color w:val="B6562F"/>
                <w:sz w:val="30"/>
                <w:szCs w:val="30"/>
              </w:rPr>
              <w:t xml:space="preserve">1.7M</w:t>
            </w:r>
          </w:p>
          <w:p>
            <w:pPr>
              <w:jc w:val="center"/>
            </w:pPr>
            <w:r>
              <w:rPr>
                <w:color w:val="5A5A5A"/>
                <w:sz w:val="17"/>
                <w:szCs w:val="17"/>
              </w:rPr>
              <w:t xml:space="preserve">MUBI subscribers, record high, Q1 2026</w:t>
            </w:r>
          </w:p>
        </w:tc>
      </w:tr>
      <w:tr>
        <w:tc>
          <w:tcPr>
            <w:tcW w:type="dxa" w:w="3120"/>
            <w:tcBorders>
              <w:top w:val="single" w:color="D8D2C7" w:sz="1"/>
              <w:left w:val="single" w:color="D8D2C7" w:sz="1"/>
              <w:bottom w:val="single" w:color="D8D2C7" w:sz="1"/>
              <w:right w:val="single" w:color="D8D2C7" w:sz="1"/>
            </w:tcBorders>
            <w:shd w:fill="F2EFEA" w:val="clear"/>
            <w:tcMar>
              <w:top w:type="dxa" w:w="160"/>
              <w:left w:type="dxa" w:w="140"/>
              <w:bottom w:type="dxa" w:w="160"/>
              <w:right w:type="dxa" w:w="140"/>
            </w:tcMar>
          </w:tcPr>
          <w:p>
            <w:pPr>
              <w:spacing w:after="60"/>
              <w:jc w:val="center"/>
            </w:pPr>
            <w:r>
              <w:rPr>
                <w:b/>
                <w:bCs/>
                <w:color w:val="B6562F"/>
                <w:sz w:val="30"/>
                <w:szCs w:val="30"/>
              </w:rPr>
              <w:t xml:space="preserve">77M</w:t>
            </w:r>
          </w:p>
          <w:p>
            <w:pPr>
              <w:jc w:val="center"/>
            </w:pPr>
            <w:r>
              <w:rPr>
                <w:color w:val="5A5A5A"/>
                <w:sz w:val="17"/>
                <w:szCs w:val="17"/>
              </w:rPr>
              <w:t xml:space="preserve">U.S. adults willing to pay for an indie streamer</w:t>
            </w:r>
          </w:p>
        </w:tc>
        <w:tc>
          <w:tcPr>
            <w:tcW w:type="dxa" w:w="3120"/>
            <w:tcBorders>
              <w:top w:val="single" w:color="D8D2C7" w:sz="1"/>
              <w:left w:val="single" w:color="D8D2C7" w:sz="1"/>
              <w:bottom w:val="single" w:color="D8D2C7" w:sz="1"/>
              <w:right w:val="single" w:color="D8D2C7" w:sz="1"/>
            </w:tcBorders>
            <w:shd w:fill="F2EFEA" w:val="clear"/>
            <w:tcMar>
              <w:top w:type="dxa" w:w="160"/>
              <w:left w:type="dxa" w:w="140"/>
              <w:bottom w:type="dxa" w:w="160"/>
              <w:right w:type="dxa" w:w="140"/>
            </w:tcMar>
          </w:tcPr>
          <w:p>
            <w:pPr>
              <w:spacing w:after="60"/>
              <w:jc w:val="center"/>
            </w:pPr>
            <w:r>
              <w:rPr>
                <w:b/>
                <w:bCs/>
                <w:color w:val="B6562F"/>
                <w:sz w:val="30"/>
                <w:szCs w:val="30"/>
              </w:rPr>
              <w:t xml:space="preserve">100M+</w:t>
            </w:r>
          </w:p>
          <w:p>
            <w:pPr>
              <w:jc w:val="center"/>
            </w:pPr>
            <w:r>
              <w:rPr>
                <w:color w:val="5A5A5A"/>
                <w:sz w:val="17"/>
                <w:szCs w:val="17"/>
              </w:rPr>
              <w:t xml:space="preserve">Tubi monthly active users (2025)</w:t>
            </w:r>
          </w:p>
        </w:tc>
        <w:tc>
          <w:tcPr>
            <w:tcW w:type="dxa" w:w="3120"/>
            <w:tcBorders>
              <w:top w:val="single" w:color="D8D2C7" w:sz="1"/>
              <w:left w:val="single" w:color="D8D2C7" w:sz="1"/>
              <w:bottom w:val="single" w:color="D8D2C7" w:sz="1"/>
              <w:right w:val="single" w:color="D8D2C7" w:sz="1"/>
            </w:tcBorders>
            <w:shd w:fill="F2EFEA" w:val="clear"/>
            <w:tcMar>
              <w:top w:type="dxa" w:w="160"/>
              <w:left w:type="dxa" w:w="140"/>
              <w:bottom w:type="dxa" w:w="160"/>
              <w:right w:type="dxa" w:w="140"/>
            </w:tcMar>
          </w:tcPr>
          <w:p>
            <w:pPr>
              <w:spacing w:after="60"/>
              <w:jc w:val="center"/>
            </w:pPr>
            <w:r>
              <w:rPr>
                <w:b/>
                <w:bCs/>
                <w:color w:val="B6562F"/>
                <w:sz w:val="30"/>
                <w:szCs w:val="30"/>
              </w:rPr>
              <w:t xml:space="preserve">4.2</w:t>
            </w:r>
          </w:p>
          <w:p>
            <w:pPr>
              <w:jc w:val="center"/>
            </w:pPr>
            <w:r>
              <w:rPr>
                <w:color w:val="5A5A5A"/>
                <w:sz w:val="17"/>
                <w:szCs w:val="17"/>
              </w:rPr>
              <w:t xml:space="preserve">Avg. streaming subscriptions per U.S. household, down from 5.1</w:t>
            </w:r>
          </w:p>
        </w:tc>
      </w:tr>
    </w:tbl>
    <w:p>
      <w:pPr>
        <w:spacing w:after="240" w:before="60"/>
      </w:pPr>
      <w:r>
        <w:rPr>
          <w:i/>
          <w:iCs/>
          <w:color w:val="8A8A8A"/>
          <w:sz w:val="16"/>
          <w:szCs w:val="16"/>
        </w:rPr>
        <w:t xml:space="preserve">Sources: MarketIntelo Independent Film Market Research Report (2026); IndieWire/Sundance Institute indie film audience study; Variety/Wall Street Journal reporting on MUBI; Impressive Magazine streaming roundup (2026); Subscrybe/Readless subscription trend data (2026).</w:t>
      </w:r>
    </w:p>
    <w:p>
      <w:r>
        <w:br w:type="page"/>
      </w:r>
    </w:p>
    <w:p>
      <w:pPr>
        <w:pStyle w:val="Heading1"/>
      </w:pPr>
      <w:r>
        <w:t xml:space="preserve">Market Analysis</w:t>
      </w:r>
    </w:p>
    <w:p>
      <w:pPr>
        <w:pStyle w:val="Heading2"/>
      </w:pPr>
      <w:r>
        <w:t xml:space="preserve">Market size and growth trajectory</w:t>
      </w:r>
    </w:p>
    <w:p>
      <w:pPr>
        <w:spacing w:after="120" w:line="264"/>
      </w:pPr>
      <w:r>
        <w:rPr>
          <w:color w:val="232323"/>
          <w:sz w:val="20"/>
          <w:szCs w:val="20"/>
        </w:rPr>
        <w:t xml:space="preserve">The global independent film market reached an estimated $8.6 billion in 2025 and is projected to grow at a 6.7% CAGR to $15.4 billion by 2034. Streaming is the primary engine of that growth: digital platforms now account for approximately 41.8% of total independent film distribution revenue globally, having overtaken theatrical as the dominant channel. North America remains the anchor market, representing roughly $3.1 billion (36.2%) of global indie film revenue in 2025, supported by a deep festival ecosystem — Sundance 2025 alone generated more than $120 million in acquisition deals across about 40 films.</w:t>
      </w:r>
    </w:p>
    <w:p>
      <w:pPr>
        <w:spacing w:after="120" w:line="264"/>
      </w:pPr>
      <w:r>
        <w:rPr>
          <w:color w:val="232323"/>
          <w:sz w:val="20"/>
          <w:szCs w:val="20"/>
        </w:rPr>
        <w:t xml:space="preserve">This indie-specific growth is occurring inside a much larger streaming market. The global video streaming industry is projected to grow from roughly $277 billion in 2026 to $886 billion by 2036 (12.3% CAGR), with subscription video on demand (SVOD) still the leading revenue model at roughly 48% share, but advertising-supported and FAST models growing fastest. For a niche entrant, this means the addressable opportunity is large and growing, but capital efficiency and audience-acquisition discipline will matter more than scale alone, since the major platforms can absorb content costs an indie-only entrant cannot match.</w:t>
      </w:r>
    </w:p>
    <w:p>
      <w:pPr>
        <w:pStyle w:val="Heading2"/>
      </w:pPr>
      <w:r>
        <w:t xml:space="preserve">Acquisition spend and content economics</w:t>
      </w:r>
    </w:p>
    <w:p>
      <w:pPr>
        <w:spacing w:after="120" w:line="264"/>
      </w:pPr>
      <w:r>
        <w:rPr>
          <w:color w:val="232323"/>
          <w:sz w:val="20"/>
          <w:szCs w:val="20"/>
        </w:rPr>
        <w:t xml:space="preserve">Major platforms are committing real capital to independent and arthouse content even as they compete with dedicated indie streamers. Netflix, Amazon Prime Video, and Apple TV+ are estimated to have spent a combined $2.4 billion on independent and arthouse content acquisitions in 2025. Indie content also performs well for them: Netflix's independent releases reportedly average about 2.3 million viewers in their first month, nearly double the 1.1 million average for studio films on the platform — evidence that indie content drives engagement disproportionate to its budget, a useful data point for investor narratives about content ROI.</w:t>
      </w:r>
    </w:p>
    <w:p>
      <w:pPr>
        <w:spacing w:after="120" w:line="264"/>
      </w:pPr>
      <w:r>
        <w:rPr>
          <w:color w:val="232323"/>
          <w:sz w:val="20"/>
          <w:szCs w:val="20"/>
        </w:rPr>
        <w:t xml:space="preserve">Distribution behavior is also shifting: an estimated 82% of independent films released in 2023 went out via streaming versus 18% via theatrical, and 45% now go directly to streaming with no theatrical run. Streaming licensing fees for indie titles averaged about $220,000 in 2023 (up 15% year over year), with a typical exclusivity window of roughly 45 days — useful inputs for content-acquisition budgeting.</w:t>
      </w:r>
    </w:p>
    <w:p>
      <w:pPr>
        <w:pStyle w:val="Heading2"/>
      </w:pPr>
      <w:r>
        <w:t xml:space="preserve">Demand-side signal: an underserved audience</w:t>
      </w:r>
    </w:p>
    <w:p>
      <w:pPr>
        <w:spacing w:after="120" w:line="264"/>
      </w:pPr>
      <w:r>
        <w:rPr>
          <w:color w:val="232323"/>
          <w:sz w:val="20"/>
          <w:szCs w:val="20"/>
        </w:rPr>
        <w:t xml:space="preserve">The most investor-relevant data point in this category comes from a Harvard Kennedy School Shorenstein Center study led by former Sundance Institute CEO Keri Putnam. It found that the current U.S. market of people who pay for scripted or documentary independent film, in theaters or at home, is about 36.7 million Americans — but 77 million Americans say they would pay for a streaming service dedicated to independent film and documentaries. That roughly 40-million-person gap is the core total-addressable-market argument for a new entrant: demand for curated indie content meaningfully exceeds what existing niche services have converted into paying subscribers.</w:t>
      </w:r>
    </w:p>
    <w:p>
      <w:pPr>
        <w:spacing w:after="120" w:line="264"/>
      </w:pPr>
      <w:r>
        <w:rPr>
          <w:color w:val="232323"/>
          <w:sz w:val="20"/>
          <w:szCs w:val="20"/>
        </w:rPr>
        <w:t xml:space="preserve">The same research notes that audiences are layering niche choices alongside mainstream platforms rather than replacing them — favoring a complementary, moderately priced offering over a full Netflix substitute.</w:t>
      </w:r>
    </w:p>
    <w:p>
      <w:pPr>
        <w:pStyle w:val="Heading2"/>
      </w:pPr>
      <w:r>
        <w:t xml:space="preserve">Structural shift toward hybrid and ad-supported monetization</w:t>
      </w:r>
    </w:p>
    <w:p>
      <w:pPr>
        <w:spacing w:after="120" w:line="264"/>
      </w:pPr>
      <w:r>
        <w:rPr>
          <w:color w:val="232323"/>
          <w:sz w:val="20"/>
          <w:szCs w:val="20"/>
        </w:rPr>
        <w:t xml:space="preserve">Subscription fatigue is a measurable, not anecdotal, headwind across the whole streaming sector. The average U.S. household now subscribes to roughly 4.2 streaming services, down from 5.1 in 2023, and 47% of streamers say they already pay too much for the services they have, with 39% having canceled at least one SVOD service in the prior six months. In response, the market is moving toward hybrid SVOD/AVOD/FAST models: more than 70% of net new U.S. streaming subscriptions since 2023 have come from ad-supported plans, and FAST channels are projected to reach roughly 10% of total TV viewing time in 2026. Free, ad-supported platforms like Tubi (over 100 million monthly active users and 280,000+ titles) and Pluto TV have become meaningful discovery and revenue channels for independent titles that would otherwise struggle for shelf space.</w:t>
      </w:r>
    </w:p>
    <w:p>
      <w:pPr>
        <w:spacing w:after="240" w:before="60"/>
      </w:pPr>
      <w:r>
        <w:rPr>
          <w:i/>
          <w:iCs/>
          <w:color w:val="8A8A8A"/>
          <w:sz w:val="16"/>
          <w:szCs w:val="16"/>
        </w:rPr>
        <w:t xml:space="preserve">Sources: MarketIntelo (2026); Dataintelo Independent Film Distribution Market Report (2025); AMW Film &amp; Box Office Statistics (2026); Future Market Insights Video Streaming Market Growth report (2026); WorldMetrics Independent Film Industry Statistics (2026); IndieWire/Shorenstein Center indie audience study; Readless Subscription Fatigue Statistics (2026); Roku 2026 Streaming Predictions; Impressive Magazine (2026).</w:t>
      </w:r>
    </w:p>
    <w:p>
      <w:pPr>
        <w:spacing w:before="100"/>
      </w:pPr>
    </w:p>
    <w:p>
      <w:pPr>
        <w:pStyle w:val="Heading1"/>
      </w:pPr>
      <w:r>
        <w:t xml:space="preserve">Competitive Landscape</w:t>
      </w:r>
    </w:p>
    <w:p>
      <w:pPr>
        <w:spacing w:after="120" w:line="264"/>
      </w:pPr>
      <w:r>
        <w:rPr>
          <w:color w:val="232323"/>
          <w:sz w:val="20"/>
          <w:szCs w:val="20"/>
        </w:rPr>
        <w:t xml:space="preserve">The category is fragmented across three business models — subscription (SVOD), free ad-supported (AVOD/FAST), and library/educational access — with no single player having converted the full addressable audience into payers. This fragmentation is both the risk and the opportunity: incumbents are large enough to set audience expectations but none has captured the underserved middle of the market.</w:t>
      </w:r>
    </w:p>
    <w:p>
      <w:pPr>
        <w:pStyle w:val="Heading2"/>
      </w:pPr>
      <w:r>
        <w:t xml:space="preserve">Positioning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100"/>
        <w:gridCol w:w="2660"/>
      </w:tblGrid>
      <w:tr>
        <w:trPr>
          <w:tblHeader/>
        </w:trPr>
        <w:tc>
          <w:tcPr>
            <w:tcW w:type="dxa" w:w="1700"/>
            <w:tcBorders>
              <w:top w:val="single" w:color="1F2D3D" w:sz="1"/>
              <w:left w:val="single" w:color="1F2D3D" w:sz="1"/>
              <w:bottom w:val="single" w:color="1F2D3D" w:sz="1"/>
              <w:right w:val="single" w:color="1F2D3D" w:sz="1"/>
            </w:tcBorders>
            <w:shd w:fill="1F2D3D" w:val="clear"/>
            <w:tcMar>
              <w:top w:type="dxa" w:w="100"/>
              <w:left w:type="dxa" w:w="120"/>
              <w:bottom w:type="dxa" w:w="100"/>
              <w:right w:type="dxa" w:w="120"/>
            </w:tcMar>
          </w:tcPr>
          <w:p>
            <w:r>
              <w:rPr>
                <w:b/>
                <w:bCs/>
                <w:color w:val="FFFFFF"/>
                <w:sz w:val="18"/>
                <w:szCs w:val="18"/>
              </w:rPr>
              <w:t xml:space="preserve">Platform</w:t>
            </w:r>
          </w:p>
        </w:tc>
        <w:tc>
          <w:tcPr>
            <w:tcW w:type="dxa" w:w="1900"/>
            <w:tcBorders>
              <w:top w:val="single" w:color="1F2D3D" w:sz="1"/>
              <w:left w:val="single" w:color="1F2D3D" w:sz="1"/>
              <w:bottom w:val="single" w:color="1F2D3D" w:sz="1"/>
              <w:right w:val="single" w:color="1F2D3D" w:sz="1"/>
            </w:tcBorders>
            <w:shd w:fill="1F2D3D" w:val="clear"/>
            <w:tcMar>
              <w:top w:type="dxa" w:w="100"/>
              <w:left w:type="dxa" w:w="120"/>
              <w:bottom w:type="dxa" w:w="100"/>
              <w:right w:type="dxa" w:w="120"/>
            </w:tcMar>
          </w:tcPr>
          <w:p>
            <w:r>
              <w:rPr>
                <w:b/>
                <w:bCs/>
                <w:color w:val="FFFFFF"/>
                <w:sz w:val="18"/>
                <w:szCs w:val="18"/>
              </w:rPr>
              <w:t xml:space="preserve">Model</w:t>
            </w:r>
          </w:p>
        </w:tc>
        <w:tc>
          <w:tcPr>
            <w:tcW w:type="dxa" w:w="3100"/>
            <w:tcBorders>
              <w:top w:val="single" w:color="1F2D3D" w:sz="1"/>
              <w:left w:val="single" w:color="1F2D3D" w:sz="1"/>
              <w:bottom w:val="single" w:color="1F2D3D" w:sz="1"/>
              <w:right w:val="single" w:color="1F2D3D" w:sz="1"/>
            </w:tcBorders>
            <w:shd w:fill="1F2D3D" w:val="clear"/>
            <w:tcMar>
              <w:top w:type="dxa" w:w="100"/>
              <w:left w:type="dxa" w:w="120"/>
              <w:bottom w:type="dxa" w:w="100"/>
              <w:right w:type="dxa" w:w="120"/>
            </w:tcMar>
          </w:tcPr>
          <w:p>
            <w:r>
              <w:rPr>
                <w:b/>
                <w:bCs/>
                <w:color w:val="FFFFFF"/>
                <w:sz w:val="18"/>
                <w:szCs w:val="18"/>
              </w:rPr>
              <w:t xml:space="preserve">Position</w:t>
            </w:r>
          </w:p>
        </w:tc>
        <w:tc>
          <w:tcPr>
            <w:tcW w:type="dxa" w:w="2660"/>
            <w:tcBorders>
              <w:top w:val="single" w:color="1F2D3D" w:sz="1"/>
              <w:left w:val="single" w:color="1F2D3D" w:sz="1"/>
              <w:bottom w:val="single" w:color="1F2D3D" w:sz="1"/>
              <w:right w:val="single" w:color="1F2D3D" w:sz="1"/>
            </w:tcBorders>
            <w:shd w:fill="1F2D3D" w:val="clear"/>
            <w:tcMar>
              <w:top w:type="dxa" w:w="100"/>
              <w:left w:type="dxa" w:w="120"/>
              <w:bottom w:type="dxa" w:w="100"/>
              <w:right w:type="dxa" w:w="120"/>
            </w:tcMar>
          </w:tcPr>
          <w:p>
            <w:r>
              <w:rPr>
                <w:b/>
                <w:bCs/>
                <w:color w:val="FFFFFF"/>
                <w:sz w:val="18"/>
                <w:szCs w:val="18"/>
              </w:rPr>
              <w:t xml:space="preserve">2025–26 signal</w:t>
            </w:r>
          </w:p>
        </w:tc>
      </w:tr>
      <w:tr>
        <w:tc>
          <w:tcPr>
            <w:tcW w:type="dxa" w:w="170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MUBI</w:t>
            </w:r>
          </w:p>
        </w:tc>
        <w:tc>
          <w:tcPr>
            <w:tcW w:type="dxa" w:w="190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SVOD + production/distribution</w:t>
            </w:r>
          </w:p>
        </w:tc>
        <w:tc>
          <w:tcPr>
            <w:tcW w:type="dxa" w:w="310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Premium curated arthouse leader; original content &amp; theatrical co-releases</w:t>
            </w:r>
          </w:p>
        </w:tc>
        <w:tc>
          <w:tcPr>
            <w:tcW w:type="dxa" w:w="266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1.7M subscribers (record, Q1 2026); $1B valuation; lost 200K subs in 2025 PR crisis</w:t>
            </w:r>
          </w:p>
        </w:tc>
      </w:tr>
      <w:tr>
        <w:tc>
          <w:tcPr>
            <w:tcW w:type="dxa" w:w="170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Criterion Channel</w:t>
            </w:r>
          </w:p>
        </w:tc>
        <w:tc>
          <w:tcPr>
            <w:tcW w:type="dxa" w:w="190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SVOD</w:t>
            </w:r>
          </w:p>
        </w:tc>
        <w:tc>
          <w:tcPr>
            <w:tcW w:type="dxa" w:w="310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Prestige classic &amp; contemporary curation, strong brand trust</w:t>
            </w:r>
          </w:p>
        </w:tc>
        <w:tc>
          <w:tcPr>
            <w:tcW w:type="dxa" w:w="266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Stable niche leader; differentiated by Criterion Collection pedigree</w:t>
            </w:r>
          </w:p>
        </w:tc>
      </w:tr>
      <w:tr>
        <w:tc>
          <w:tcPr>
            <w:tcW w:type="dxa" w:w="170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Kanopy / Hoopla</w:t>
            </w:r>
          </w:p>
        </w:tc>
        <w:tc>
          <w:tcPr>
            <w:tcW w:type="dxa" w:w="190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Library-card access (free to user)</w:t>
            </w:r>
          </w:p>
        </w:tc>
        <w:tc>
          <w:tcPr>
            <w:tcW w:type="dxa" w:w="310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Ad-free indie &amp; classic film via public libraries/universities</w:t>
            </w:r>
          </w:p>
        </w:tc>
        <w:tc>
          <w:tcPr>
            <w:tcW w:type="dxa" w:w="266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30,000+ titles; zero CAC to platform via institutional model</w:t>
            </w:r>
          </w:p>
        </w:tc>
      </w:tr>
      <w:tr>
        <w:tc>
          <w:tcPr>
            <w:tcW w:type="dxa" w:w="170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Tubi / Pluto TV / The Roku Channel</w:t>
            </w:r>
          </w:p>
        </w:tc>
        <w:tc>
          <w:tcPr>
            <w:tcW w:type="dxa" w:w="190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AVOD / FAST</w:t>
            </w:r>
          </w:p>
        </w:tc>
        <w:tc>
          <w:tcPr>
            <w:tcW w:type="dxa" w:w="310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Mass-reach free discovery layer for indie &amp; catalog titles</w:t>
            </w:r>
          </w:p>
        </w:tc>
        <w:tc>
          <w:tcPr>
            <w:tcW w:type="dxa" w:w="266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Tubi 100M+ MAU, 280K+ titles; Roku Channel + Tubi ~5% of total US viewing time</w:t>
            </w:r>
          </w:p>
        </w:tc>
      </w:tr>
      <w:tr>
        <w:tc>
          <w:tcPr>
            <w:tcW w:type="dxa" w:w="170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Topic, OVID, Film Movement Plus</w:t>
            </w:r>
          </w:p>
        </w:tc>
        <w:tc>
          <w:tcPr>
            <w:tcW w:type="dxa" w:w="190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SVOD (smaller niche)</w:t>
            </w:r>
          </w:p>
        </w:tc>
        <w:tc>
          <w:tcPr>
            <w:tcW w:type="dxa" w:w="310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Genre/curatorial specialists (international, doc, festival)</w:t>
            </w:r>
          </w:p>
        </w:tc>
        <w:tc>
          <w:tcPr>
            <w:tcW w:type="dxa" w:w="2660"/>
            <w:tcBorders>
              <w:top w:val="single" w:color="D8D2C7" w:sz="1"/>
              <w:left w:val="single" w:color="D8D2C7" w:sz="1"/>
              <w:bottom w:val="single" w:color="D8D2C7" w:sz="1"/>
              <w:right w:val="single" w:color="D8D2C7" w:sz="1"/>
            </w:tcBorders>
            <w:shd w:fill="FFFFFF" w:val="clear"/>
            <w:tcMar>
              <w:top w:type="dxa" w:w="90"/>
              <w:left w:type="dxa" w:w="120"/>
              <w:bottom w:type="dxa" w:w="90"/>
              <w:right w:type="dxa" w:w="120"/>
            </w:tcMar>
          </w:tcPr>
          <w:p>
            <w:r>
              <w:rPr>
                <w:color w:val="232323"/>
                <w:sz w:val="18"/>
                <w:szCs w:val="18"/>
              </w:rPr>
              <w:t xml:space="preserve">Sub-scale relative to MUBI; rely on bundling and partnerships</w:t>
            </w:r>
          </w:p>
        </w:tc>
      </w:tr>
      <w:tr>
        <w:tc>
          <w:tcPr>
            <w:tcW w:type="dxa" w:w="170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Netflix / Amazon / Apple TV+</w:t>
            </w:r>
          </w:p>
        </w:tc>
        <w:tc>
          <w:tcPr>
            <w:tcW w:type="dxa" w:w="190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SVOD (mainstream)</w:t>
            </w:r>
          </w:p>
        </w:tc>
        <w:tc>
          <w:tcPr>
            <w:tcW w:type="dxa" w:w="310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Acquire indie titles as prestige/awards content, not core identity</w:t>
            </w:r>
          </w:p>
        </w:tc>
        <w:tc>
          <w:tcPr>
            <w:tcW w:type="dxa" w:w="2660"/>
            <w:tcBorders>
              <w:top w:val="single" w:color="D8D2C7" w:sz="1"/>
              <w:left w:val="single" w:color="D8D2C7" w:sz="1"/>
              <w:bottom w:val="single" w:color="D8D2C7" w:sz="1"/>
              <w:right w:val="single" w:color="D8D2C7" w:sz="1"/>
            </w:tcBorders>
            <w:shd w:fill="F2EFEA" w:val="clear"/>
            <w:tcMar>
              <w:top w:type="dxa" w:w="90"/>
              <w:left w:type="dxa" w:w="120"/>
              <w:bottom w:type="dxa" w:w="90"/>
              <w:right w:type="dxa" w:w="120"/>
            </w:tcMar>
          </w:tcPr>
          <w:p>
            <w:r>
              <w:rPr>
                <w:color w:val="232323"/>
                <w:sz w:val="18"/>
                <w:szCs w:val="18"/>
              </w:rPr>
              <w:t xml:space="preserve">Combined ~$2.4B indie/arthouse acquisition spend in 2025</w:t>
            </w:r>
          </w:p>
        </w:tc>
      </w:tr>
    </w:tbl>
    <w:p>
      <w:pPr>
        <w:spacing w:after="240" w:before="60"/>
      </w:pPr>
      <w:r>
        <w:rPr>
          <w:i/>
          <w:iCs/>
          <w:color w:val="8A8A8A"/>
          <w:sz w:val="16"/>
          <w:szCs w:val="16"/>
        </w:rPr>
        <w:t xml:space="preserve">Sources: Screen Daily, Variety, IndieWire, and WSJ reporting on MUBI (April 2026); PitchBook and Tracxn MUBI company profiles (2026); Impressive Magazine free streaming roundup (2026); Filmmaker Magazine on Tubi indie curation; AMW Film &amp; Box Office Statistics (2026).</w:t>
      </w:r>
    </w:p>
    <w:p>
      <w:pPr>
        <w:pStyle w:val="Heading2"/>
      </w:pPr>
      <w:r>
        <w:t xml:space="preserve">MUBI: the cautionary benchmark</w:t>
      </w:r>
    </w:p>
    <w:p>
      <w:pPr>
        <w:spacing w:after="120" w:line="264"/>
      </w:pPr>
      <w:r>
        <w:rPr>
          <w:color w:val="232323"/>
          <w:sz w:val="20"/>
          <w:szCs w:val="20"/>
        </w:rPr>
        <w:t xml:space="preserve">MUBI is the clearest proof that a premium curated indie subscription model can scale — and the clearest warning about how fragile that scale is. The company raised a $100 million Series F in June 2025 at a $1 billion valuation, backed by Sequoia Capital, and rode strong acquisitions like The Substance to a then-record 1.44 million subscribers in spring 2025. A backlash over its Sequoia investment's ties to an Israeli military-linked startup triggered an employee revolt, festival partners distancing themselves, and a loss of roughly 200,000 subscribers by year-end 2025, alongside a $7.3 million loss on about $200 million in revenue. MUBI has since recovered to a record 1.7 million subscribers in Q1 2026, driven by distributing four of the five Oscar Best International Feature nominees, and is now expanding into Africa, Asia, and Eastern Europe.</w:t>
      </w:r>
    </w:p>
    <w:p>
      <w:pPr>
        <w:spacing w:after="120" w:line="264"/>
      </w:pPr>
      <w:r>
        <w:rPr>
          <w:color w:val="232323"/>
          <w:sz w:val="20"/>
          <w:szCs w:val="20"/>
        </w:rPr>
        <w:t xml:space="preserve">For a new entrant, MUBI's trajectory illustrates two things: the ceiling for a single-brand curated indie SVOD service is real and reachable in the low millions of subscribers, and reputational and governance risk is unusually high-stakes in a category whose audience cares deeply about cultural and ethical alignment. A new platform with transparent funding and clear curatorial values has room to position itself as the trustworthy alternative.</w:t>
      </w:r>
    </w:p>
    <w:p>
      <w:pPr>
        <w:pStyle w:val="Heading2"/>
      </w:pPr>
      <w:r>
        <w:t xml:space="preserve">AVOD/FAST: the underrated distribution layer</w:t>
      </w:r>
    </w:p>
    <w:p>
      <w:pPr>
        <w:spacing w:after="120" w:line="264"/>
      </w:pPr>
      <w:r>
        <w:rPr>
          <w:color w:val="232323"/>
          <w:sz w:val="20"/>
          <w:szCs w:val="20"/>
        </w:rPr>
        <w:t xml:space="preserve">Free, ad-supported platforms have quietly become a major distribution channel for independent film, not just a dumping ground for catalog titles. Tubi has surpassed 100 million monthly active users and hosts more than 280,000 titles, and analysts note that AVOD viewing increases substantially when paired with FAST channels for discovery, suggesting the two work best as a combined funnel rather than separate strategies. Notably, Tubi's documentary curation lags its strength in genre and horror, leaving a curation gap an indie-focused competitor could exploit through partnership or content licensing rather than direct competition.</w:t>
      </w:r>
    </w:p>
    <w:p>
      <w:pPr>
        <w:pStyle w:val="Heading2"/>
      </w:pPr>
      <w:r>
        <w:t xml:space="preserve">Library and institutional access: an overlooked acquisition channel</w:t>
      </w:r>
    </w:p>
    <w:p>
      <w:pPr>
        <w:spacing w:after="120" w:line="264"/>
      </w:pPr>
      <w:r>
        <w:rPr>
          <w:color w:val="232323"/>
          <w:sz w:val="20"/>
          <w:szCs w:val="20"/>
        </w:rPr>
        <w:t xml:space="preserve">Kanopy and Hoopla offer ad-free access to 30,000+ films, including the Criterion Collection, through public libraries and universities, at zero subscription cost to the end user — the institution pays. This model proves that indie and classic film audiences will engage heavily with curated content when price friction is removed, and it represents an underused customer-acquisition and brand-building channel (institutional licensing, library partnerships, university film programs) that most VC-backed streaming startups ignore in favor of direct-to-consumer growth alone.</w:t>
      </w:r>
    </w:p>
    <w:p>
      <w:pPr>
        <w:spacing w:before="100"/>
      </w:pPr>
    </w:p>
    <w:p>
      <w:pPr>
        <w:pStyle w:val="Heading1"/>
      </w:pPr>
      <w:r>
        <w:t xml:space="preserve">Growth Opportunities</w:t>
      </w:r>
    </w:p>
    <w:p>
      <w:pPr>
        <w:spacing w:after="120" w:line="264"/>
      </w:pPr>
      <w:r>
        <w:rPr>
          <w:color w:val="232323"/>
          <w:sz w:val="20"/>
          <w:szCs w:val="20"/>
        </w:rPr>
        <w:t xml:space="preserve">The competitive and demand-side analysis points to five concrete growth levers that translate directly into a Series A growth narrative.</w:t>
      </w:r>
    </w:p>
    <w:p>
      <w:pPr>
        <w:pStyle w:val="Heading2"/>
      </w:pPr>
      <w:r>
        <w:t xml:space="preserve">1. Convert the underserved 40-million-person audience with a hybrid model</w:t>
      </w:r>
    </w:p>
    <w:p>
      <w:pPr>
        <w:pStyle w:val="ListParagraph"/>
        <w:numPr>
          <w:ilvl w:val="0"/>
          <w:numId w:val="2"/>
        </w:numPr>
        <w:spacing w:after="70"/>
      </w:pPr>
      <w:r>
        <w:rPr>
          <w:color w:val="232323"/>
          <w:sz w:val="20"/>
          <w:szCs w:val="20"/>
        </w:rPr>
        <w:t xml:space="preserve">Lead with a freemium or ad-supported entry tier to capture price-sensitive viewers, then upsell to a curated paid tier — mirroring the broader industry shift in which over 70% of net new U.S. streaming subscriptions since 2023 have come from ad-supported plans.</w:t>
      </w:r>
    </w:p>
    <w:p>
      <w:pPr>
        <w:pStyle w:val="ListParagraph"/>
        <w:numPr>
          <w:ilvl w:val="0"/>
          <w:numId w:val="2"/>
        </w:numPr>
        <w:spacing w:after="70"/>
      </w:pPr>
      <w:r>
        <w:rPr>
          <w:color w:val="232323"/>
          <w:sz w:val="20"/>
          <w:szCs w:val="20"/>
        </w:rPr>
        <w:t xml:space="preserve">Position pricing and tier structure explicitly against subscription fatigue: households have already cut from 5.1 to 4.2 services on average, so the pitch must be “replace,” not “add.”</w:t>
      </w:r>
    </w:p>
    <w:p>
      <w:pPr>
        <w:pStyle w:val="Heading2"/>
      </w:pPr>
      <w:r>
        <w:t xml:space="preserve">2. Build trust as a differentiator, not just a content library</w:t>
      </w:r>
    </w:p>
    <w:p>
      <w:pPr>
        <w:pStyle w:val="ListParagraph"/>
        <w:numPr>
          <w:ilvl w:val="0"/>
          <w:numId w:val="2"/>
        </w:numPr>
        <w:spacing w:after="70"/>
      </w:pPr>
      <w:r>
        <w:rPr>
          <w:color w:val="232323"/>
          <w:sz w:val="20"/>
          <w:szCs w:val="20"/>
        </w:rPr>
        <w:t xml:space="preserve">MUBI's subscriber losses show that funding transparency and curatorial ethics are now competitive variables in this category, not back-office concerns.</w:t>
      </w:r>
    </w:p>
    <w:p>
      <w:pPr>
        <w:pStyle w:val="ListParagraph"/>
        <w:numPr>
          <w:ilvl w:val="0"/>
          <w:numId w:val="2"/>
        </w:numPr>
        <w:spacing w:after="70"/>
      </w:pPr>
      <w:r>
        <w:rPr>
          <w:color w:val="232323"/>
          <w:sz w:val="20"/>
          <w:szCs w:val="20"/>
        </w:rPr>
        <w:t xml:space="preserve">A public, simple statement of funding sources, content curation principles, and filmmaker revenue share can be a genuine point of differentiation for investor and audience trust alike.</w:t>
      </w:r>
    </w:p>
    <w:p>
      <w:pPr>
        <w:pStyle w:val="Heading2"/>
      </w:pPr>
      <w:r>
        <w:t xml:space="preserve">3. Treat FAST/AVOD platforms as a funnel, not a competitor</w:t>
      </w:r>
    </w:p>
    <w:p>
      <w:pPr>
        <w:pStyle w:val="ListParagraph"/>
        <w:numPr>
          <w:ilvl w:val="0"/>
          <w:numId w:val="2"/>
        </w:numPr>
        <w:spacing w:after="70"/>
      </w:pPr>
      <w:r>
        <w:rPr>
          <w:color w:val="232323"/>
          <w:sz w:val="20"/>
          <w:szCs w:val="20"/>
        </w:rPr>
        <w:t xml:space="preserve">Licensing catalog or lower-tier titles to Tubi, Pluto TV, or The Roku Channel can build audience awareness and brand recognition at near-zero acquisition cost, feeding a smaller paid core product — consistent with operator guidance that AVOD and FAST work best as complements rather than alternatives.</w:t>
      </w:r>
    </w:p>
    <w:p>
      <w:pPr>
        <w:pStyle w:val="ListParagraph"/>
        <w:numPr>
          <w:ilvl w:val="0"/>
          <w:numId w:val="2"/>
        </w:numPr>
        <w:spacing w:after="70"/>
      </w:pPr>
      <w:r>
        <w:rPr>
          <w:color w:val="232323"/>
          <w:sz w:val="20"/>
          <w:szCs w:val="20"/>
        </w:rPr>
        <w:t xml:space="preserve">Use FAST distribution data as a low-cost audience-testing mechanism for which titles and genres justify premium curation investment.</w:t>
      </w:r>
    </w:p>
    <w:p>
      <w:pPr>
        <w:pStyle w:val="Heading2"/>
      </w:pPr>
      <w:r>
        <w:t xml:space="preserve">4. Pursue institutional and bundling channels for efficient acquisition</w:t>
      </w:r>
    </w:p>
    <w:p>
      <w:pPr>
        <w:pStyle w:val="ListParagraph"/>
        <w:numPr>
          <w:ilvl w:val="0"/>
          <w:numId w:val="2"/>
        </w:numPr>
        <w:spacing w:after="70"/>
      </w:pPr>
      <w:r>
        <w:rPr>
          <w:color w:val="232323"/>
          <w:sz w:val="20"/>
          <w:szCs w:val="20"/>
        </w:rPr>
        <w:t xml:space="preserve">Library and university partnerships modeled on Kanopy demonstrate a customer-acquisition channel with no direct CAC to the platform; partnering with libraries or educational institutions for premium-tier upsell trials is a differentiated, underused approach in the indie SVOD space.</w:t>
      </w:r>
    </w:p>
    <w:p>
      <w:pPr>
        <w:pStyle w:val="ListParagraph"/>
        <w:numPr>
          <w:ilvl w:val="0"/>
          <w:numId w:val="2"/>
        </w:numPr>
        <w:spacing w:after="70"/>
      </w:pPr>
      <w:r>
        <w:rPr>
          <w:color w:val="232323"/>
          <w:sz w:val="20"/>
          <w:szCs w:val="20"/>
        </w:rPr>
        <w:t xml:space="preserve">Telco and bundle partnerships are accelerating across streaming broadly — bundled subscribers churn meaningfully less (one cross-platform bundle retained 59% of subscribers after 12 months, versus lower standalone retention) — suggesting a wholesale or bundle distribution deal could materially improve retention economics versus a pure direct-to-consumer model.</w:t>
      </w:r>
    </w:p>
    <w:p>
      <w:pPr>
        <w:pStyle w:val="Heading2"/>
      </w:pPr>
      <w:r>
        <w:t xml:space="preserve">5. Use festival and distributor relationships as both content pipeline and brand equity</w:t>
      </w:r>
    </w:p>
    <w:p>
      <w:pPr>
        <w:pStyle w:val="ListParagraph"/>
        <w:numPr>
          <w:ilvl w:val="0"/>
          <w:numId w:val="2"/>
        </w:numPr>
        <w:spacing w:after="70"/>
      </w:pPr>
      <w:r>
        <w:rPr>
          <w:color w:val="232323"/>
          <w:sz w:val="20"/>
          <w:szCs w:val="20"/>
        </w:rPr>
        <w:t xml:space="preserve">Sundance 2025 generated over $120 million in acquisition deals across roughly 40 films, confirming that festivals remain the highest-quality discovery pipeline for new indie content and a venue for brand visibility.</w:t>
      </w:r>
    </w:p>
    <w:p>
      <w:pPr>
        <w:pStyle w:val="ListParagraph"/>
        <w:numPr>
          <w:ilvl w:val="0"/>
          <w:numId w:val="2"/>
        </w:numPr>
        <w:spacing w:after="70"/>
      </w:pPr>
      <w:r>
        <w:rPr>
          <w:color w:val="232323"/>
          <w:sz w:val="20"/>
          <w:szCs w:val="20"/>
        </w:rPr>
        <w:t xml:space="preserve">Positioning the platform as a distribution partner of choice for festival breakouts — rather than only a post-release licensing buyer — can secure better content terms and tie the brand to award-season narratives, the same dynamic that helped MUBI's subscriber surges around The Substance and its Oscar-nominated international slate.</w:t>
      </w:r>
    </w:p>
    <w:p>
      <w:pPr>
        <w:pBdr>
          <w:bottom w:val="single" w:color="D8D2C7" w:sz="4" w:space="1"/>
        </w:pBdr>
        <w:spacing w:after="240" w:before="120"/>
      </w:pPr>
      <w:r>
        <w:t xml:space="preserve"/>
      </w:r>
    </w:p>
    <w:p>
      <w:pPr>
        <w:spacing w:after="80"/>
      </w:pPr>
      <w:r>
        <w:rPr>
          <w:b/>
          <w:bCs/>
          <w:color w:val="1F2D3D"/>
          <w:sz w:val="21"/>
          <w:szCs w:val="21"/>
        </w:rPr>
        <w:t xml:space="preserve">Bottom line for the pitch deck</w:t>
      </w:r>
    </w:p>
    <w:p>
      <w:pPr>
        <w:spacing w:after="120" w:line="264"/>
      </w:pPr>
      <w:r>
        <w:rPr>
          <w:color w:val="232323"/>
          <w:sz w:val="20"/>
          <w:szCs w:val="20"/>
        </w:rPr>
        <w:t xml:space="preserve">The data supports a growth story built on capturing underserved demand through a disciplined hybrid (SVOD + AVOD/FAST) model, differentiated by curatorial trust and festival-pipeline relationships, rather than a head-on subscriber race against MUBI or the studio-backed platforms. That combination — large unmet demand, a clear incumbent cautionary tale, and a structural industry shift toward hybrid monetization — is the core market argument investors should take away from this brief.</w:t>
      </w:r>
    </w:p>
    <w:p>
      <w:pPr>
        <w:spacing w:before="300"/>
      </w:pPr>
      <w:r>
        <w:rPr>
          <w:i/>
          <w:iCs/>
          <w:color w:val="5A5A5A"/>
          <w:sz w:val="17"/>
          <w:szCs w:val="17"/>
        </w:rPr>
        <w:t xml:space="preserve">Methodology note: This brief synthesizes publicly available industry research, trade press reporting, and market-research estimates current as of June 2026. Figures from third-party market-research firms (e.g., total market size and CAGR projections) are modeled estimates and should be validated against the company's own data before inclusion in investor materials.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5A5A"/>
        <w:sz w:val="15"/>
        <w:szCs w:val="15"/>
      </w:rPr>
      <w:t xml:space="preserve">Confidential — Prepared for internal investor pitch use</w:t>
    </w:r>
    <w:r>
      <w:rPr>
        <w:color w:val="5A5A5A"/>
        <w:sz w:val="15"/>
        <w:szCs w:val="15"/>
      </w:rPr>
      <w:t xml:space="preserve">	Page </w:t>
    </w:r>
    <w:r>
      <w:rPr>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7" w:sz="4" w:space="4"/>
      </w:pBdr>
      <w:tabs>
        <w:tab w:val="right" w:pos="9026"/>
      </w:tabs>
    </w:pPr>
    <w:r>
      <w:rPr>
        <w:b/>
        <w:bCs/>
        <w:color w:val="5A5A5A"/>
        <w:sz w:val="15"/>
        <w:szCs w:val="15"/>
      </w:rPr>
      <w:t xml:space="preserve">INDEPENDENT FILM STREAMING MARKET</w:t>
    </w:r>
    <w:r>
      <w:rPr>
        <w:color w:val="5A5A5A"/>
        <w:sz w:val="15"/>
        <w:szCs w:val="15"/>
      </w:rPr>
      <w:t xml:space="preserve">	Series A Briefing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abstractNum w:abstractNumId="3" w15:restartNumberingAfterBreak="0">
    <w:multiLevelType w:val="hybridMultilevel"/>
    <w:lvl w:ilvl="0" w15:tentative="1">
      <w:start w:val="1"/>
      <w:numFmt w:val="bullet"/>
      <w:lvlText w:val="–"/>
      <w:lvlJc w:val="left"/>
      <w:pPr>
        <w:ind w:left="72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6562F" w:sz="8" w:space="4"/>
      </w:pBdr>
      <w:spacing w:after="160" w:before="280"/>
      <w:outlineLvl w:val="0"/>
    </w:pPr>
    <w:rPr>
      <w:rFonts w:ascii="Calibri" w:cs="Calibri" w:eastAsia="Calibri" w:hAnsi="Calibri"/>
      <w:b/>
      <w:bCs/>
      <w:color w:val="1F2D3D"/>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B656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2026-06-21T21:33:46.993Z</dcterms:created>
  <dcterms:modified xsi:type="dcterms:W3CDTF">2026-06-21T21:33:46.993Z</dcterms:modified>
</cp:coreProperties>
</file>

<file path=docProps/custom.xml><?xml version="1.0" encoding="utf-8"?>
<Properties xmlns="http://schemas.openxmlformats.org/officeDocument/2006/custom-properties" xmlns:vt="http://schemas.openxmlformats.org/officeDocument/2006/docPropsVTypes"/>
</file>