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a36c1342164599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</w:body>
</w:document>
</file>