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ТЕХНИЧЕСКАЯ ДОКУМЕНТАЦИЯ</w:t>
      </w:r>
    </w:p>
    <w:p>
      <w:pPr>
        <w:pStyle w:val="Heading1"/>
      </w:pPr>
      <w:r>
        <w:t>Программное обеспечение «ПВ-Система»</w:t>
      </w:r>
    </w:p>
    <w:p>
      <w:pPr>
        <w:pStyle w:val="Heading2"/>
      </w:pPr>
      <w:r>
        <w:t>Программа для проектирования и расчёта систем вентиляции и противопожарного водоснабжения рудников и шахт</w:t>
      </w:r>
    </w:p>
    <w:p>
      <w:r>
        <w:rPr>
          <w:b/>
        </w:rPr>
        <w:t>Документ подготовлен для включения в Единый реестр российских программ для электронных вычислительных машин и баз данных (реестр Минцифры России).</w:t>
      </w:r>
    </w:p>
    <w:p>
      <w:r>
        <w:t>Дата составления: 03.08.2026</w:t>
      </w:r>
    </w:p>
    <w:p>
      <w:r>
        <w:t>Версия ПО: 2.79.226</w:t>
      </w:r>
    </w:p>
    <w:p>
      <w:r>
        <w:t>Правообладатель: _________________________ (заполнить: наименование юридического лица / ИНН / ОГРН)</w:t>
      </w:r>
    </w:p>
    <w:p>
      <w:pPr>
        <w:pStyle w:val="Heading1"/>
      </w:pPr>
      <w:r>
        <w:t>1. ОБЩИЕ СВЕДЕНИЯ О ПРОГРАММЕ</w:t>
      </w:r>
    </w:p>
    <w:p>
      <w:r>
        <w:rPr>
          <w:b/>
        </w:rPr>
        <w:t>Полное наименование:</w:t>
      </w:r>
      <w:r>
        <w:t xml:space="preserve"> Программа для электронных вычислительных машин «ПВ-Система» (Проектирование Вентиляции — Система).</w:t>
      </w:r>
    </w:p>
    <w:p>
      <w:r>
        <w:rPr>
          <w:b/>
        </w:rPr>
        <w:t>Класс ПО (по классификатору Минцифры):</w:t>
      </w:r>
      <w:r>
        <w:t xml:space="preserve"> Прикладное программное обеспечение / средства автоматизированного проектирования (САПР) / отраслевое инженерное ПО для горнодобывающей промышленности.</w:t>
      </w:r>
    </w:p>
    <w:p>
      <w:r>
        <w:rPr>
          <w:b/>
        </w:rPr>
        <w:t>Назначение.</w:t>
      </w:r>
      <w:r>
        <w:t xml:space="preserve"> «ПВ-Система» — профессиональный программный комплекс для проектирования, моделирования и инженерного расчёта систем вентиляции и противопожарного водоснабжения подземных горных выработок (шахт, рудников). Программа предназначена для построения компьютерной модели шахтной вентиляционной сети, расчёта воздухораспределения, оценки аварийных вентиляционных режимов при пожарах и взрывах, гидравлического расчёта пожарно-оросительного водоснабжения, а также подготовки материалов для планов ликвидации аварий (ПЛА).</w:t>
      </w:r>
    </w:p>
    <w:p>
      <w:r>
        <w:rPr>
          <w:b/>
        </w:rPr>
        <w:t>Область применения:</w:t>
      </w:r>
    </w:p>
    <w:p>
      <w:pPr>
        <w:pStyle w:val="ListBullet"/>
      </w:pPr>
      <w:r>
        <w:t>проектные и научно-исследовательские организации горного профиля;</w:t>
      </w:r>
    </w:p>
    <w:p>
      <w:pPr>
        <w:pStyle w:val="ListBullet"/>
      </w:pPr>
      <w:r>
        <w:t>службы аэрологической безопасности и вентиляции горнодобывающих предприятий;</w:t>
      </w:r>
    </w:p>
    <w:p>
      <w:pPr>
        <w:pStyle w:val="ListBullet"/>
      </w:pPr>
      <w:r>
        <w:t>военизированные горноспасательные части (ВГСЧ);</w:t>
      </w:r>
    </w:p>
    <w:p>
      <w:pPr>
        <w:pStyle w:val="ListBullet"/>
      </w:pPr>
      <w:r>
        <w:t>разработка и актуализация планов ликвидации аварий (ПЛА);</w:t>
      </w:r>
    </w:p>
    <w:p>
      <w:pPr>
        <w:pStyle w:val="ListBullet"/>
      </w:pPr>
      <w:r>
        <w:t>воздушно-депрессионные съёмки (ВДС) и адаптация компьютерных моделей вентиляционных сетей.</w:t>
      </w:r>
    </w:p>
    <w:p>
      <w:r>
        <w:rPr>
          <w:b/>
        </w:rPr>
        <w:t>Целевые пользователи:</w:t>
      </w:r>
      <w:r>
        <w:t xml:space="preserve"> горные инженеры, проектировщики систем вентиляции шахт и рудников, специалисты по промышленной и аэрологической безопасности.</w:t>
      </w:r>
    </w:p>
    <w:p>
      <w:pPr>
        <w:pStyle w:val="Heading1"/>
      </w:pPr>
      <w:r>
        <w:t>2. ФУНКЦИОНАЛЬНЫЕ ВОЗМОЖНОСТИ</w:t>
      </w:r>
    </w:p>
    <w:p>
      <w:r>
        <w:t>Программа реализует следующие функциональные модули:</w:t>
      </w:r>
    </w:p>
    <w:p>
      <w:pPr>
        <w:pStyle w:val="Heading2"/>
      </w:pPr>
      <w:r>
        <w:t>2.1. Построение топологии вентиляционной сети</w:t>
      </w:r>
    </w:p>
    <w:p>
      <w:r>
        <w:t>Создание графовой модели сети горных выработок из узлов и ветвей с трёхмерными координатами (X, Y, Z), привязкой к горизонтам, заданием геометрии выработок (круглая, прямоугольная, трапецеидальная, арочная, произвольная форма сечения), типов и параметров крепи.</w:t>
      </w:r>
    </w:p>
    <w:p>
      <w:pPr>
        <w:pStyle w:val="Heading2"/>
      </w:pPr>
      <w:r>
        <w:t>2.2. Расчёт воздухораспределения</w:t>
      </w:r>
    </w:p>
    <w:p>
      <w:r>
        <w:t>Расчёт распределения воздушных потоков в сети методом контурных расходов (метод Хэрди-Кросса) на основе законов Кирхгофа: баланс расходов в узлах и баланс депрессий в контурах. Итерационное решение системы нелинейных уравнений с контролем сходимости по давлению и расходу.</w:t>
      </w:r>
    </w:p>
    <w:p>
      <w:pPr>
        <w:pStyle w:val="Heading2"/>
      </w:pPr>
      <w:r>
        <w:t>2.3. Расчёт аэродинамического сопротивления</w:t>
      </w:r>
    </w:p>
    <w:p>
      <w:r>
        <w:t>Вычисление аэродинамического сопротивления выработок по формуле Аткинсона (Жирара-Добюссона) R = α·L·P/S³ и трубопроводов R = 6.48·α·L/D⁵. Поддержка справочников коэффициентов аэродинамического сопротивления по типам крепи и поверхностей, учёт местных сопротивлений.</w:t>
      </w:r>
    </w:p>
    <w:p>
      <w:pPr>
        <w:pStyle w:val="Heading2"/>
      </w:pPr>
      <w:r>
        <w:t>2.4. Каталог вентиляторов и подбор рабочей точки</w:t>
      </w:r>
    </w:p>
    <w:p>
      <w:r>
        <w:t>Справочник вентиляторов главного (ГВУ), вспомогательного (ВВУ) и местного (ВМП) проветривания с напорными характеристиками H(Q). Определение рабочей точки как пересечения характеристики вентилятора с характеристикой сети, расчёт КПД и потребляемой мощности, учёт угла установки лопаток, оборотов, реверса и параллельной работы вентиляторов.</w:t>
      </w:r>
    </w:p>
    <w:p>
      <w:pPr>
        <w:pStyle w:val="Heading2"/>
      </w:pPr>
      <w:r>
        <w:t>2.5. Расчёт аварийных режимов при пожаре</w:t>
      </w:r>
    </w:p>
    <w:p>
      <w:r>
        <w:t>Моделирование очага подземного пожара, расчёт тепловой депрессии, оценка устойчивости проветривания наклонных и вертикальных выработок (в том числе опрокидывания вентиляционной струи), расчёт распространения продуктов горения (CO, CO₂, дым) по сети. Справочник горючих материалов.</w:t>
      </w:r>
    </w:p>
    <w:p>
      <w:pPr>
        <w:pStyle w:val="Heading2"/>
      </w:pPr>
      <w:r>
        <w:t>2.6. Расчёт взрывных режимов</w:t>
      </w:r>
    </w:p>
    <w:p>
      <w:r>
        <w:t>Оценка параметров ударной воздушной волны при взрыве горючих газов и взрывчатых веществ (методики на основе формулы Садовского и нормативных документов), расчёт зон поражения по избыточному давлению.</w:t>
      </w:r>
    </w:p>
    <w:p>
      <w:pPr>
        <w:pStyle w:val="Heading2"/>
      </w:pPr>
      <w:r>
        <w:t>2.7. Гидравлический расчёт противопожарного водоснабжения</w:t>
      </w:r>
    </w:p>
    <w:p>
      <w:r>
        <w:t>Расчёт водопроводной сети (трубопроводы, насосы, регуляторы давления, потребители — пожарные стволы, распылители, пеногенераторы) по формуле Дарси-Вейсбаха, определение расходов, давлений и времени работы.</w:t>
      </w:r>
    </w:p>
    <w:p>
      <w:pPr>
        <w:pStyle w:val="Heading2"/>
      </w:pPr>
      <w:r>
        <w:t>2.8. Расчёт маршрутов горноспасателей (ПЛА)</w:t>
      </w:r>
    </w:p>
    <w:p>
      <w:r>
        <w:t>Поиск оптимальных маршрутов передвижения отделений ВГСЧ по алгоритму Дейкстры с учётом нормативных скоростей хода, углов наклона выработок, задымления и расхода кислорода дыхательных аппаратов.</w:t>
      </w:r>
    </w:p>
    <w:p>
      <w:pPr>
        <w:pStyle w:val="Heading2"/>
      </w:pPr>
      <w:r>
        <w:t>2.9. Визуализация и оформление</w:t>
      </w:r>
    </w:p>
    <w:p>
      <w:r>
        <w:t>Двумерное и трёхмерное отображение вентиляционной схемы, цветовые палитры по расходу/скорости/давлению/горизонтам, условные обозначения, индикаторы параметров на ветвях, масштабирование и панорамирование.</w:t>
      </w:r>
    </w:p>
    <w:p>
      <w:pPr>
        <w:pStyle w:val="Heading2"/>
      </w:pPr>
      <w:r>
        <w:t>2.10. Импорт и экспорт данных</w:t>
      </w:r>
    </w:p>
    <w:p>
      <w:r>
        <w:t>Экспорт результатов в форматы Microsoft Excel (.xlsx), CSV, PDF, SVG, RTF/DOCX. Импорт данных из Excel, CSV, DXF и сторонних систем моделирования вентиляции. Хранение проекта в собственном формате (JSON-структура).</w:t>
      </w:r>
    </w:p>
    <w:p>
      <w:pPr>
        <w:pStyle w:val="Heading2"/>
      </w:pPr>
      <w:r>
        <w:t>2.11. Лицензирование и администрирование</w:t>
      </w:r>
    </w:p>
    <w:p>
      <w:r>
        <w:t>Онлайн-система лицензирования с привязкой к рабочему месту, поддержка автономного (офлайн) ключа на основе криптографической подписи, административная панель управления лицензиями.</w:t>
      </w:r>
    </w:p>
    <w:p>
      <w:pPr>
        <w:pStyle w:val="Heading1"/>
      </w:pPr>
      <w:r>
        <w:t>3. АРХИТЕКТУРА ПРОГРАММНОГО ОБЕСПЕЧЕНИЯ</w:t>
      </w:r>
    </w:p>
    <w:p>
      <w:r>
        <w:t>Программа построена по клиент-серверной архитектуре и состоит из следующих компонентов:</w:t>
      </w:r>
    </w:p>
    <w:p>
      <w:pPr>
        <w:pStyle w:val="Heading2"/>
      </w:pPr>
      <w:r>
        <w:t>3.1. Клиентская часть (фронтенд)</w:t>
      </w:r>
    </w:p>
    <w:p>
      <w:r>
        <w:t>Одностраничное веб-приложение (SPA), выполняющееся в браузере пользователя. Реализует пользовательский интерфейс, редактор схемы, визуализацию и значительную часть инженерных расчётов на стороне клиента.</w:t>
      </w:r>
    </w:p>
    <w:p>
      <w:pPr>
        <w:pStyle w:val="Heading2"/>
      </w:pPr>
      <w:r>
        <w:t>3.2. Серверная часть (бэкенд)</w:t>
      </w:r>
    </w:p>
    <w:p>
      <w:r>
        <w:t>Набор бессерверных облачных функций (cloud functions) на языке Python, выполняющих ресурсоёмкие вычисления, генерацию документов, проверку лицензий и служебные операции. Взаимодействие клиента с сервером осуществляется по протоколу HTTPS (REST, обмен данными в формате JSON).</w:t>
      </w:r>
    </w:p>
    <w:p>
      <w:r>
        <w:t>Состав серверных функций:</w:t>
      </w:r>
    </w:p>
    <w:p>
      <w:pPr>
        <w:pStyle w:val="ListBullet"/>
      </w:pPr>
      <w:r>
        <w:rPr>
          <w:rFonts w:ascii="Consolas" w:hAnsi="Consolas"/>
          <w:sz w:val="20"/>
        </w:rPr>
        <w:t>airflow</w:t>
      </w:r>
      <w:r>
        <w:t xml:space="preserve"> — расчёт воздухораспределения в сети;</w:t>
      </w:r>
    </w:p>
    <w:p>
      <w:pPr>
        <w:pStyle w:val="ListBullet"/>
      </w:pPr>
      <w:r>
        <w:rPr>
          <w:rFonts w:ascii="Consolas" w:hAnsi="Consolas"/>
          <w:sz w:val="20"/>
        </w:rPr>
        <w:t>aerodynamics</w:t>
      </w:r>
      <w:r>
        <w:t xml:space="preserve"> — расчёт аэродинамического сопротивления;</w:t>
      </w:r>
    </w:p>
    <w:p>
      <w:pPr>
        <w:pStyle w:val="ListBullet"/>
      </w:pPr>
      <w:r>
        <w:rPr>
          <w:rFonts w:ascii="Consolas" w:hAnsi="Consolas"/>
          <w:sz w:val="20"/>
        </w:rPr>
        <w:t>water-hydraulics</w:t>
      </w:r>
      <w:r>
        <w:t xml:space="preserve"> — гидравлический расчёт водоснабжения;</w:t>
      </w:r>
    </w:p>
    <w:p>
      <w:pPr>
        <w:pStyle w:val="ListBullet"/>
      </w:pPr>
      <w:r>
        <w:rPr>
          <w:rFonts w:ascii="Consolas" w:hAnsi="Consolas"/>
          <w:sz w:val="20"/>
        </w:rPr>
        <w:t>rescue-calculator</w:t>
      </w:r>
      <w:r>
        <w:t xml:space="preserve"> — расчёт маршрутов горноспасателей;</w:t>
      </w:r>
    </w:p>
    <w:p>
      <w:pPr>
        <w:pStyle w:val="ListBullet"/>
      </w:pPr>
      <w:r>
        <w:rPr>
          <w:rFonts w:ascii="Consolas" w:hAnsi="Consolas"/>
          <w:sz w:val="20"/>
        </w:rPr>
        <w:t>explosion-calculator</w:t>
      </w:r>
      <w:r>
        <w:t xml:space="preserve"> — расчёт параметров взрыва;</w:t>
      </w:r>
    </w:p>
    <w:p>
      <w:pPr>
        <w:pStyle w:val="ListBullet"/>
      </w:pPr>
      <w:r>
        <w:rPr>
          <w:rFonts w:ascii="Consolas" w:hAnsi="Consolas"/>
          <w:sz w:val="20"/>
        </w:rPr>
        <w:t>svg-to-pdf</w:t>
      </w:r>
      <w:r>
        <w:t xml:space="preserve"> — формирование PDF-документов из схемы;</w:t>
      </w:r>
    </w:p>
    <w:p>
      <w:pPr>
        <w:pStyle w:val="ListBullet"/>
      </w:pPr>
      <w:r>
        <w:rPr>
          <w:rFonts w:ascii="Consolas" w:hAnsi="Consolas"/>
          <w:sz w:val="20"/>
        </w:rPr>
        <w:t>license</w:t>
      </w:r>
      <w:r>
        <w:t xml:space="preserve">, </w:t>
      </w:r>
      <w:r>
        <w:rPr>
          <w:rFonts w:ascii="Consolas" w:hAnsi="Consolas"/>
          <w:sz w:val="20"/>
        </w:rPr>
        <w:t>admin-licenses</w:t>
      </w:r>
      <w:r>
        <w:t xml:space="preserve"> — проверка и администрирование лицензий;</w:t>
      </w:r>
    </w:p>
    <w:p>
      <w:pPr>
        <w:pStyle w:val="ListBullet"/>
      </w:pPr>
      <w:r>
        <w:rPr>
          <w:rFonts w:ascii="Consolas" w:hAnsi="Consolas"/>
          <w:sz w:val="20"/>
        </w:rPr>
        <w:t>app-version</w:t>
      </w:r>
      <w:r>
        <w:t xml:space="preserve">, </w:t>
      </w:r>
      <w:r>
        <w:rPr>
          <w:rFonts w:ascii="Consolas" w:hAnsi="Consolas"/>
          <w:sz w:val="20"/>
        </w:rPr>
        <w:t>compute-config</w:t>
      </w:r>
      <w:r>
        <w:t xml:space="preserve"> — служебные функции (версия, конфигурация);</w:t>
      </w:r>
    </w:p>
    <w:p>
      <w:pPr>
        <w:pStyle w:val="ListBullet"/>
      </w:pPr>
      <w:r>
        <w:t>вспомогательные функции подготовки графических ресурсов.</w:t>
      </w:r>
    </w:p>
    <w:p>
      <w:pPr>
        <w:pStyle w:val="Heading2"/>
      </w:pPr>
      <w:r>
        <w:t>3.3. База данных</w:t>
      </w:r>
    </w:p>
    <w:p>
      <w:r>
        <w:t xml:space="preserve">Система управления базами данных </w:t>
      </w:r>
      <w:r>
        <w:rPr>
          <w:b/>
        </w:rPr>
        <w:t>PostgreSQL</w:t>
      </w:r>
      <w:r>
        <w:t xml:space="preserve"> (свободное ПО с открытым исходным кодом). Используется для хранения данных лицензий и служебной информации.</w:t>
      </w:r>
    </w:p>
    <w:p>
      <w:pPr>
        <w:pStyle w:val="Heading2"/>
      </w:pPr>
      <w:r>
        <w:t>3.4. Файловое хранилище</w:t>
      </w:r>
    </w:p>
    <w:p>
      <w:r>
        <w:t>Объектное хранилище (S3-совместимое) на российской инфраструктуре для хранения графических ресурсов и сформированных документов.</w:t>
      </w:r>
    </w:p>
    <w:p>
      <w:pPr>
        <w:pStyle w:val="Heading1"/>
      </w:pPr>
      <w:r>
        <w:t>4. ТЕХНОЛОГИЧЕСКИЙ СТЕК И ИСПОЛЬЗУЕМЫЕ КОМПОНЕНТЫ</w:t>
      </w:r>
    </w:p>
    <w:p>
      <w:pPr>
        <w:pStyle w:val="Heading2"/>
      </w:pPr>
      <w:r>
        <w:t>4.1. Языки программирования</w:t>
      </w:r>
    </w:p>
    <w:p>
      <w:pPr>
        <w:pStyle w:val="ListBullet"/>
      </w:pPr>
      <w:r>
        <w:rPr>
          <w:b/>
        </w:rPr>
        <w:t>TypeScript / JavaScript</w:t>
      </w:r>
      <w:r>
        <w:t xml:space="preserve"> — клиентская часть;</w:t>
      </w:r>
    </w:p>
    <w:p>
      <w:pPr>
        <w:pStyle w:val="ListBullet"/>
      </w:pPr>
      <w:r>
        <w:rPr>
          <w:b/>
        </w:rPr>
        <w:t>Python 3.11</w:t>
      </w:r>
      <w:r>
        <w:t xml:space="preserve"> — серверная часть.</w:t>
      </w:r>
    </w:p>
    <w:p>
      <w:pPr>
        <w:pStyle w:val="Heading2"/>
      </w:pPr>
      <w:r>
        <w:t>4.2. Основные технологии и библиотеки (свободное ПО с открытыми лицензиями)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Лицензия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React 18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Библиотека построения пользовательского интерфейса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Vite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Сборщик и инструмент разработки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TypeScript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Язык программирования (типизация)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Apache 2.0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Tailwind CSS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CSS-фреймворк оформления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Radix UI / shadcn/ui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Компоненты интерфейса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Recharts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Построение графиков и диаграмм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ExcelJS / xlsx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Формирование файлов Excel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MIT / Apache 2.0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jsPDF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Формирование PDF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JSZip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Работа с ZIP-архивами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@noble/ed25519, @noble/hashes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Криптографические функции (подпись лицензий)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React Router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Маршрутизация в приложении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PostgreSQL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СУБД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PostgreSQL License (свободная)</w:t>
            </w:r>
          </w:p>
        </w:tc>
      </w:tr>
    </w:tbl>
    <w:p/>
    <w:p>
      <w:r>
        <w:t>Все используемые сторонние библиотеки распространяются под свободными лицензиями (MIT, Apache 2.0, BSD), не являются проприетарным иностранным программным обеспечением и не создают лицензионной зависимости от иностранных правообладателей.</w:t>
      </w:r>
    </w:p>
    <w:p>
      <w:pPr>
        <w:pStyle w:val="Heading2"/>
      </w:pPr>
      <w:r>
        <w:t>4.3. Отсутствие зависимости от иностранной инфраструктуры (импортозамещение)</w:t>
      </w:r>
    </w:p>
    <w:p>
      <w:r>
        <w:t>Программа не использует проприетарные иностранные платформы, платные иностранные API и сервисы (карты, платежи, аналитика зарубежных вендоров). Вычисления, хранение данных и обслуживание выполняются на российской инфраструктуре. Аналитика реализована средствами российского сервиса (Яндекс.Метрика).</w:t>
      </w:r>
    </w:p>
    <w:p>
      <w:r>
        <w:rPr>
          <w:b/>
        </w:rPr>
        <w:t>Иностранные сетевые зависимости в исходном коде полностью отсутствуют.</w:t>
      </w:r>
      <w:r>
        <w:t xml:space="preserve"> Проведён аудит всего кода приложения (клиентская и серверная части): обращения к иностранным доменам, внешним CDN и зарубежным сервисам (в том числе Google Fonts, jsDelivr, unpkg, cdnjs, Google Analytics, reCAPTCHA, иностранные картографические и платёжные сервисы) не используются.</w:t>
      </w:r>
    </w:p>
    <w:p>
      <w:pPr>
        <w:pStyle w:val="ListBullet"/>
      </w:pPr>
      <w:r>
        <w:rPr>
          <w:b/>
        </w:rPr>
        <w:t>Шрифты</w:t>
      </w:r>
      <w:r>
        <w:t xml:space="preserve"> поставляются в составе дистрибутива (встраиваются в сборку приложения из локальных файлов свободных шрифтов IBM Plex и DejaVu Sans); загрузка шрифтов с внешних ресурсов не выполняется.</w:t>
      </w:r>
    </w:p>
    <w:p>
      <w:pPr>
        <w:pStyle w:val="ListBullet"/>
      </w:pPr>
      <w:r>
        <w:rPr>
          <w:b/>
        </w:rPr>
        <w:t>Весь сетевой трафик</w:t>
      </w:r>
      <w:r>
        <w:t xml:space="preserve"> приложения замкнут в российском контуре: серверные вычисления и API, хранение файлов и база данных PostgreSQL размещены на российской инфраструктуре.</w:t>
      </w:r>
    </w:p>
    <w:p>
      <w:pPr>
        <w:pStyle w:val="ListBullet"/>
      </w:pPr>
      <w:r>
        <w:rPr>
          <w:b/>
        </w:rPr>
        <w:t>Сторонние библиотеки</w:t>
      </w:r>
      <w:r>
        <w:t xml:space="preserve"> (React, Vite, Tailwind CSS и др.) распространяются под свободными лицензиями (MIT, Apache 2.0, BSD), поставляются в составе дистрибутива и не создают зависимости от иностранных сервисов в процессе работы программы.</w:t>
      </w:r>
    </w:p>
    <w:p>
      <w:r>
        <w:t>Дата проведения аудита кода: 03.08.2026.</w:t>
      </w:r>
    </w:p>
    <w:p>
      <w:pPr>
        <w:pStyle w:val="Heading1"/>
      </w:pPr>
      <w:r>
        <w:t>5. СИСТЕМНЫЕ ТРЕБОВАНИЯ</w:t>
      </w:r>
    </w:p>
    <w:p>
      <w:pPr>
        <w:pStyle w:val="Heading2"/>
      </w:pPr>
      <w:r>
        <w:t>5.1. Веб-версия (клиент)</w:t>
      </w:r>
    </w:p>
    <w:p>
      <w:pPr>
        <w:pStyle w:val="ListBullet"/>
      </w:pPr>
      <w:r>
        <w:t>Современный веб-браузер (Яндекс.Браузер, Chromium-совместимые браузеры) актуальной версии;</w:t>
      </w:r>
    </w:p>
    <w:p>
      <w:pPr>
        <w:pStyle w:val="ListBullet"/>
      </w:pPr>
      <w:r>
        <w:t>процессор: 2 ядра и выше;</w:t>
      </w:r>
    </w:p>
    <w:p>
      <w:pPr>
        <w:pStyle w:val="ListBullet"/>
      </w:pPr>
      <w:r>
        <w:t>оперативная память: не менее 4 ГБ (рекомендуется 8 ГБ для крупных схем);</w:t>
      </w:r>
    </w:p>
    <w:p>
      <w:pPr>
        <w:pStyle w:val="ListBullet"/>
      </w:pPr>
      <w:r>
        <w:t>разрешение экрана: от 1366×768;</w:t>
      </w:r>
    </w:p>
    <w:p>
      <w:pPr>
        <w:pStyle w:val="ListBullet"/>
      </w:pPr>
      <w:r>
        <w:t>подключение к сети Интернет (для серверных расчётов, лицензирования и обновлений); в межсетевом экране должен быть разрешён исходящий HTTPS-доступ (порт 443) к доменам пв-система.рф и functions.poehali.dev.</w:t>
      </w:r>
    </w:p>
    <w:p>
      <w:pPr>
        <w:pStyle w:val="Heading2"/>
      </w:pPr>
      <w:r>
        <w:t>5.2. Настольная (desktop) версия</w:t>
      </w:r>
    </w:p>
    <w:p>
      <w:pPr>
        <w:pStyle w:val="ListBullet"/>
      </w:pPr>
      <w:r>
        <w:t>Операционная система: Windows 10/11 (64-бит); поддерживается запуск в среде совместимых российских операционных систем на базе Linux;</w:t>
      </w:r>
    </w:p>
    <w:p>
      <w:pPr>
        <w:pStyle w:val="ListBullet"/>
      </w:pPr>
      <w:r>
        <w:t>процессор: 2 ядра и выше;</w:t>
      </w:r>
    </w:p>
    <w:p>
      <w:pPr>
        <w:pStyle w:val="ListBullet"/>
      </w:pPr>
      <w:r>
        <w:t>оперативная память: не менее 4 ГБ;</w:t>
      </w:r>
    </w:p>
    <w:p>
      <w:pPr>
        <w:pStyle w:val="ListBullet"/>
      </w:pPr>
      <w:r>
        <w:t>свободное дисковое пространство: не менее 500 МБ.</w:t>
      </w:r>
    </w:p>
    <w:p>
      <w:pPr>
        <w:pStyle w:val="Heading2"/>
      </w:pPr>
      <w:r>
        <w:t>5.3. Серверная часть</w:t>
      </w:r>
    </w:p>
    <w:p>
      <w:pPr>
        <w:pStyle w:val="ListBullet"/>
      </w:pPr>
      <w:r>
        <w:t>Среда исполнения Python 3.11;</w:t>
      </w:r>
    </w:p>
    <w:p>
      <w:pPr>
        <w:pStyle w:val="ListBullet"/>
      </w:pPr>
      <w:r>
        <w:t>СУБД PostgreSQL 14 и выше;</w:t>
      </w:r>
    </w:p>
    <w:p>
      <w:pPr>
        <w:pStyle w:val="ListBullet"/>
      </w:pPr>
      <w:r>
        <w:t>S3-совместимое объектное хранилище.</w:t>
      </w:r>
    </w:p>
    <w:p>
      <w:pPr>
        <w:pStyle w:val="Heading1"/>
      </w:pPr>
      <w:r>
        <w:t>6. РУКОВОДСТВО ПО УСТАНОВКЕ И ЗАПУСКУ</w:t>
      </w:r>
    </w:p>
    <w:p>
      <w:pPr>
        <w:pStyle w:val="Heading2"/>
      </w:pPr>
      <w:r>
        <w:t>6.1. Веб-версия</w:t>
      </w:r>
    </w:p>
    <w:p>
      <w:r>
        <w:t>Веб-версия не требует установки на компьютер пользователя. Для начала работы необходимо:</w:t>
      </w:r>
    </w:p>
    <w:p>
      <w:pPr>
        <w:pStyle w:val="ListNumber"/>
      </w:pPr>
      <w:r>
        <w:t>открыть веб-браузер;</w:t>
      </w:r>
    </w:p>
    <w:p>
      <w:pPr>
        <w:pStyle w:val="ListNumber"/>
      </w:pPr>
      <w:r>
        <w:t>перейти по адресу размещения приложения;</w:t>
      </w:r>
    </w:p>
    <w:p>
      <w:pPr>
        <w:pStyle w:val="ListNumber"/>
      </w:pPr>
      <w:r>
        <w:t>авторизоваться (при необходимости) и активировать лицензию.</w:t>
      </w:r>
    </w:p>
    <w:p>
      <w:pPr>
        <w:pStyle w:val="Heading2"/>
      </w:pPr>
      <w:r>
        <w:t>6.2. Настольная версия</w:t>
      </w:r>
    </w:p>
    <w:p>
      <w:pPr>
        <w:pStyle w:val="ListNumber"/>
      </w:pPr>
      <w:r>
        <w:t>Скачать установочный файл (дистрибутив) для соответствующей операционной системы.</w:t>
      </w:r>
    </w:p>
    <w:p>
      <w:pPr>
        <w:pStyle w:val="ListNumber"/>
      </w:pPr>
      <w:r>
        <w:t>Запустить установщик и следовать инструкциям мастера установки.</w:t>
      </w:r>
    </w:p>
    <w:p>
      <w:pPr>
        <w:pStyle w:val="ListNumber"/>
      </w:pPr>
      <w:r>
        <w:t>При первом запуске активировать лицензию (онлайн-активация или ввод автономного ключа).</w:t>
      </w:r>
    </w:p>
    <w:p>
      <w:pPr>
        <w:pStyle w:val="ListNumber"/>
      </w:pPr>
      <w:r>
        <w:t>Обновления устанавливаются встроенным механизмом обновления по уведомлению.</w:t>
      </w:r>
    </w:p>
    <w:p>
      <w:pPr>
        <w:pStyle w:val="Heading2"/>
      </w:pPr>
      <w:r>
        <w:t>6.3. Развёртывание серверной части (для правообладателя / администратора)</w:t>
      </w:r>
    </w:p>
    <w:p>
      <w:pPr>
        <w:pStyle w:val="ListNumber"/>
      </w:pPr>
      <w:r>
        <w:t xml:space="preserve">Установить среду Python 3.11 и зависимости серверных функций (файлы </w:t>
      </w:r>
      <w:r>
        <w:rPr>
          <w:rFonts w:ascii="Consolas" w:hAnsi="Consolas"/>
          <w:sz w:val="20"/>
        </w:rPr>
        <w:t>requirements.txt</w:t>
      </w:r>
      <w:r>
        <w:t xml:space="preserve"> в каталогах функций).</w:t>
      </w:r>
    </w:p>
    <w:p>
      <w:pPr>
        <w:pStyle w:val="ListNumber"/>
      </w:pPr>
      <w:r>
        <w:t xml:space="preserve">Развернуть и инициализировать базу данных PostgreSQL, применить миграции из каталога </w:t>
      </w:r>
      <w:r>
        <w:rPr>
          <w:rFonts w:ascii="Consolas" w:hAnsi="Consolas"/>
          <w:sz w:val="20"/>
        </w:rPr>
        <w:t>db_migrations</w:t>
      </w:r>
      <w:r>
        <w:t>.</w:t>
      </w:r>
    </w:p>
    <w:p>
      <w:pPr>
        <w:pStyle w:val="ListNumber"/>
      </w:pPr>
      <w:r>
        <w:t>Настроить параметры подключения к БД и хранилищу через переменные окружения (секреты).</w:t>
      </w:r>
    </w:p>
    <w:p>
      <w:pPr>
        <w:pStyle w:val="ListNumber"/>
      </w:pPr>
      <w:r>
        <w:t>Развернуть облачные функции и получить их адреса (URL).</w:t>
      </w:r>
    </w:p>
    <w:p>
      <w:pPr>
        <w:pStyle w:val="ListNumber"/>
      </w:pPr>
      <w:r>
        <w:t>Собрать клиентское приложение командой сборки и разместить статические файлы на веб-сервере.</w:t>
      </w:r>
    </w:p>
    <w:p>
      <w:r>
        <w:t>Команды сборки клиентской части:</w:t>
      </w:r>
    </w:p>
    <w:p>
      <w:r>
        <w:rPr>
          <w:rFonts w:ascii="Consolas" w:hAnsi="Consolas"/>
          <w:sz w:val="20"/>
        </w:rPr>
        <w:t>npm install      # установка зависимостей</w:t>
        <w:br/>
        <w:t>npm run build    # сборка производственной версии</w:t>
      </w:r>
    </w:p>
    <w:p>
      <w:r>
        <w:t xml:space="preserve">Результат сборки (каталог </w:t>
      </w:r>
      <w:r>
        <w:rPr>
          <w:rFonts w:ascii="Consolas" w:hAnsi="Consolas"/>
          <w:sz w:val="20"/>
        </w:rPr>
        <w:t>dist</w:t>
      </w:r>
      <w:r>
        <w:t>) размещается на веб-сервере.</w:t>
      </w:r>
    </w:p>
    <w:p>
      <w:pPr>
        <w:pStyle w:val="Heading1"/>
      </w:pPr>
      <w:r>
        <w:t>7. ПОРЯДОК ЭКСПЛУАТАЦИИ (КРАТКО)</w:t>
      </w:r>
    </w:p>
    <w:p>
      <w:pPr>
        <w:pStyle w:val="ListNumber"/>
      </w:pPr>
      <w:r>
        <w:t>Создать новый проект или открыть существующий.</w:t>
      </w:r>
    </w:p>
    <w:p>
      <w:pPr>
        <w:pStyle w:val="ListNumber"/>
      </w:pPr>
      <w:r>
        <w:t>Построить топологию вентиляционной сети (узлы и ветви) вручную или импортом из внешних данных.</w:t>
      </w:r>
    </w:p>
    <w:p>
      <w:pPr>
        <w:pStyle w:val="ListNumber"/>
      </w:pPr>
      <w:r>
        <w:t>Задать параметры выработок (сечение, длина, крепь), установить вентиляторы, перемычки, регуляторы.</w:t>
      </w:r>
    </w:p>
    <w:p>
      <w:pPr>
        <w:pStyle w:val="ListNumber"/>
      </w:pPr>
      <w:r>
        <w:t>Выполнить расчёт воздухораспределения.</w:t>
      </w:r>
    </w:p>
    <w:p>
      <w:pPr>
        <w:pStyle w:val="ListNumber"/>
      </w:pPr>
      <w:r>
        <w:t>Проанализировать результаты (расходы, скорости, депрессии), выполнить при необходимости расчёты аварийных режимов (пожар, взрыв), гидравлики водоснабжения, маршрутов ВГСЧ.</w:t>
      </w:r>
    </w:p>
    <w:p>
      <w:pPr>
        <w:pStyle w:val="ListNumber"/>
      </w:pPr>
      <w:r>
        <w:t>Оформить и экспортировать результаты в требуемые форматы (Excel, PDF, SVG).</w:t>
      </w:r>
    </w:p>
    <w:p>
      <w:pPr>
        <w:pStyle w:val="Heading1"/>
      </w:pPr>
      <w:r>
        <w:t>8. ТЕХНИЧЕСКАЯ ПОДДЕРЖКА</w:t>
      </w:r>
    </w:p>
    <w:p>
      <w:r>
        <w:t>Гарантийное сопровождение, техническая поддержка, устранение ошибок и модернизация программного обеспечения осуществляются правообладателем на территории Российской Федерации.</w:t>
      </w:r>
    </w:p>
    <w:p>
      <w:r>
        <w:t>Контактная информация для технической поддержки: _________________________ (заполнить).</w:t>
      </w:r>
    </w:p>
    <w:p>
      <w:pPr>
        <w:pStyle w:val="Heading1"/>
      </w:pPr>
      <w:r>
        <w:t>9. СВЕДЕНИЯ О ПРАВООБЛАДАНИИ</w:t>
      </w:r>
    </w:p>
    <w:p>
      <w:r>
        <w:t>Исключительное право на программу для ЭВМ «ПВ-Система» принадлежит правообладателю — _________________________ (заполнить наименование, ИНН, ОГРН).</w:t>
      </w:r>
    </w:p>
    <w:p>
      <w:r>
        <w:t>Программа разработана на территории Российской Федерации. Свидетельство о государственной регистрации программы для ЭВМ: _________________________ (при наличии — указать номер и дату).</w:t>
      </w:r>
    </w:p>
    <w:p>
      <w:r>
        <w:rPr>
          <w:i/>
        </w:rPr>
        <w:t>Настоящий документ является черновиком и подлежит проверке и заполнению отмеченных полей перед подачей заявления в реестр Минцифры России.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