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a9"/>
      </w:pPr>
      <w:r>
        <w:t>УДК 622.822:622.44</w:t>
      </w:r>
    </w:p>
    <w:p>
      <w:pPr>
        <w:pStyle w:val="a4"/>
      </w:pPr>
      <w:r>
        <w:t>Ипатов С.Г.</w:t>
      </w:r>
    </w:p>
    <w:p>
      <w:pPr>
        <w:pStyle w:val="a5"/>
      </w:pPr>
      <w:r>
        <w:t xml:space="preserve">командир взвода службы депрессионных съемок, филиал «Копейский военизированный горноспасательный отряд» ФГУП «ВГСЧ», Копейск, Россия, e-mail: </w:t>
      </w:r>
      <w:r>
        <w:rPr>
          <w:highlight w:val="yellow"/>
        </w:rPr>
        <w:t>[указать e-mail]</w:t>
      </w:r>
    </w:p>
    <w:p>
      <w:pPr>
        <w:pStyle w:val="2"/>
      </w:pPr>
      <w:r>
        <w:t>Определение устойчивости проветривания наклонных горных выработок рудников при пожаре с учетом фактической пожарной нагрузки</w:t>
      </w:r>
    </w:p>
    <w:p>
      <w:pPr>
        <w:pStyle w:val="a3"/>
      </w:pPr>
      <w:r>
        <w:rPr>
          <w:b/>
          <w:i/>
        </w:rPr>
        <w:t>Аннотация.</w:t>
      </w:r>
      <w:r>
        <w:t xml:space="preserve"> Рассмотрена задача проверки устойчивости вентиляционных режимов наклонных горных выработок рудников при воздействии тепловой депрессии пожара. Показано, что распространенная практика задания температуры очага постоянной величиной 1000 °C без учета горючей нагрузки и расхода воздуха искажает результат: для выработок со слабой нагрузкой тепловая депрессия завышается в десятки раз. Предложен порядок расчета, при котором мощность пожара определяется по составу горючей нагрузки (самоходная техника, кабели, деревянная крепь, конвейерная лента), а нагрев струи – по расходу воздуха в конкретной ветви. Методика реализована в программном комплексе «ПВ-Система» и применена при проверке устойчивости проветривания рудников, обслуживаемых филиалом «Копейский ВГСО».</w:t>
      </w:r>
    </w:p>
    <w:p>
      <w:pPr>
        <w:pStyle w:val="a3"/>
      </w:pPr>
      <w:r>
        <w:rPr>
          <w:b/>
          <w:i/>
        </w:rPr>
        <w:t>Ключевые слова:</w:t>
      </w:r>
      <w:r>
        <w:t xml:space="preserve"> устойчивость проветривания, тепловая депрессия, пожарная нагрузка, мощность пожара, опрокидывание вентиляционной струи, критическая депрессия, наклонные выработки, вентиляционная сеть, рудник</w:t>
      </w:r>
    </w:p>
    <w:p>
      <w:pPr/>
      <w:r>
        <w:rPr>
          <w:b/>
        </w:rPr>
        <w:t xml:space="preserve">Введение. </w:t>
      </w:r>
      <w:r>
        <w:t>Пожар в наклонной выработке создает тепловую депрессию, которая при нисходящем проветривании направлена против вентиляционной струи и способна вызвать ее самопроизвольное опрокидывание, а при восходящем – нарушить распределение воздуха в параллельных выработках [1, 2]. Последствия опрокидывания – задымление путей выхода людей и отделений горноспасателей – подтверждаются натурными и численными исследованиями [3, 4]. Поэтому для каждого планового периода плана мероприятий по локализации и ликвидации последствий аварий (ПМЛЛПА) выполняется проверка устойчивости проветривания выработок с углом наклона 5° и более и длиной 30 м и более.</w:t>
      </w:r>
    </w:p>
    <w:p>
      <w:pPr/>
      <w:r>
        <w:t>На 17 рудниках, обслуживаемых филиалом «Копейский ВГСО», применяются три программных комплекса: «Вентиляция» (6 рудников), «АэроСеть» (9) и «ПВ-Система» (1). В первом из них температура очага по умолчанию принята равной 1000 °C и не связана с горючей нагрузкой; задать нагрев менее 100 °C невозможно. В зарубежной практике мощность расчетного пожара принято обосновывать составом горючих материалов [5–7]. Цель работы – обосновать и реализовать порядок проверки устойчивости проветривания, в котором тепловая депрессия определяется фактической пожарной нагрузкой ветви и расходом воздуха в ней.</w:t>
      </w:r>
    </w:p>
    <w:p>
      <w:pPr/>
      <w:r>
        <w:rPr>
          <w:b/>
        </w:rPr>
        <w:t xml:space="preserve">Методы. </w:t>
      </w:r>
      <w:r>
        <w:t>Исходными данными служат топология вентиляционной сети, результаты ее расчета и сведения о горючей нагрузке по каждой наклонной выработке, полученные по официальному запросу от предприятия. Теплофизические характеристики материалов приняты по справочнику пожарной нагрузки для рудников</w:t>
      </w:r>
      <w:r>
        <w:rPr>
          <w:rStyle w:val="af4"/>
        </w:rPr>
        <w:footnoteReference w:id="1"/>
      </w:r>
      <w:r>
        <w:t>. Мощность пожара самоходной техники определяется по массам резины, дизельного топлива и масла через эквивалентную поверхность горения и время выгорания каждого материала; для кабелей, деревянной крепи и конвейерной ленты – по площади активного горения, которая нарастает со скоростью распространения пламени и уменьшается за счет выгорания материала. Нагрев воздуха в выработке:</w:t>
      </w:r>
    </w:p>
    <w:p>
      <w:pPr>
        <w:tabs>
          <w:tab w:pos="4563" w:val="center"/>
          <w:tab w:pos="9127" w:val="right"/>
        </w:tabs>
        <w:ind w:firstLine="0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 xml:space="preserve">Δ</m:t>
            </m:r>
          </m:e>
          <m:sub>
            <m:r>
              <m:rPr/>
              <w:rPr>
                <w:rFonts w:ascii="Cambria Math" w:hAnsi="Cambria Math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m:rPr/>
                  <w:rPr>
                    <w:rFonts w:ascii="Cambria Math" w:hAnsi="Cambria Math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ρ·</m:t>
            </m:r>
            <m:sSub>
              <m:e>
                <m:r>
                  <m:rPr/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m:rPr/>
                  <w:rPr>
                    <w:rFonts w:ascii="Cambria Math" w:hAnsi="Cambria Math"/>
                  </w:rPr>
                  <m:t xml:space="preserve"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·</m:t>
            </m:r>
            <m:r>
              <m:rPr/>
              <w:rPr>
                <w:rFonts w:ascii="Cambria Math" w:hAnsi="Cambria Math"/>
              </w:rPr>
              <m:t xml:space="preserve">Q</m:t>
            </m:r>
          </m:den>
        </m:f>
      </m:oMath>
      <w:r>
        <w:tab/>
        <w:t>(1)</w:t>
      </w:r>
    </w:p>
    <w:p>
      <w:pPr/>
      <w:r>
        <w:t xml:space="preserve">где </w:t>
      </w:r>
      <w:r>
        <w:rPr>
          <w:i/>
        </w:rPr>
        <w:t>N</w:t>
      </w:r>
      <w:r>
        <w:t xml:space="preserve"> – мощность пожара, МВт; ρ = 1,25 кг/м³ – плотность воздуха; </w:t>
      </w:r>
      <w:r>
        <w:rPr>
          <w:i/>
        </w:rPr>
        <w:t>c</w:t>
      </w:r>
      <w:r>
        <w:rPr>
          <w:i/>
          <w:vertAlign w:val="subscript"/>
        </w:rPr>
        <w:t>p</w:t>
      </w:r>
      <w:r>
        <w:t xml:space="preserve"> = 1005 Дж/(кг·К) – удельная теплоемкость воздуха; </w:t>
      </w:r>
      <w:r>
        <w:rPr>
          <w:i/>
        </w:rPr>
        <w:t>Q</w:t>
      </w:r>
      <w:r>
        <w:t xml:space="preserve"> – расход воздуха в ветви, м³/с. Температура продуктов горения ограничена 1200 °C.</w:t>
      </w:r>
    </w:p>
    <w:p>
      <w:pPr/>
      <w:r>
        <w:t>Тепловая депрессия пожара рассчитывается по нормативной методике</w:t>
      </w:r>
      <w:r>
        <w:rPr>
          <w:rStyle w:val="af4"/>
        </w:rPr>
        <w:footnoteReference w:id="2"/>
      </w:r>
      <w:r>
        <w:t>:</w:t>
      </w:r>
    </w:p>
    <w:p>
      <w:pPr>
        <w:tabs>
          <w:tab w:pos="4563" w:val="center"/>
          <w:tab w:pos="9127" w:val="right"/>
        </w:tabs>
        <w:ind w:firstLine="0"/>
      </w:pPr>
      <w:r>
        <w:tab/>
      </w:r>
      <m:oMath>
        <m:sSub>
          <m:e>
            <m:r>
              <m:rPr/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т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m:rPr/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·Δ</m:t>
        </m:r>
        <m:r>
          <m:rPr/>
          <w:rPr>
            <w:rFonts w:ascii="Cambria Math" w:hAnsi="Cambria Math"/>
          </w:rPr>
          <m:t xml:space="preserve">z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d>
          <m:e>
            <m:r>
              <m:rPr>
                <m:sty m:val="p"/>
              </m:rPr>
              <w:rPr>
                <w:rFonts w:ascii="Cambria Math" w:hAnsi="Cambria Math"/>
              </w:rPr>
              <m:t xml:space="preserve">0,766+</m:t>
            </m:r>
            <m:r>
              <m:rPr/>
              <w:rPr>
                <w:rFonts w:ascii="Cambria Math" w:hAnsi="Cambria Math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·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</m:t>
                </m:r>
              </m:fName>
              <m:e>
                <m:f>
                  <m:num>
                    <m:sSub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м</m:t>
                        </m:r>
                      </m:sub>
                    </m:sSub>
                  </m:num>
                  <m:den>
                    <m:sSub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к</m:t>
                        </m:r>
                      </m:sub>
                    </m:sSub>
                  </m:den>
                </m:f>
              </m:e>
            </m:func>
          </m:e>
        </m:d>
      </m:oMath>
      <w:r>
        <w:tab/>
        <w:t>(2)</w:t>
      </w:r>
    </w:p>
    <w:p>
      <w:pPr/>
      <w:r>
        <w:t xml:space="preserve">где </w:t>
      </w:r>
      <w:r>
        <w:rPr>
          <w:i/>
        </w:rPr>
        <w:t>k</w:t>
      </w:r>
      <w:r>
        <w:rPr>
          <w:vertAlign w:val="subscript"/>
        </w:rPr>
        <w:t>1</w:t>
      </w:r>
      <w:r>
        <w:t xml:space="preserve"> = 12 Н/м³; Δ</w:t>
      </w:r>
      <w:r>
        <w:rPr>
          <w:i/>
        </w:rPr>
        <w:t>z</w:t>
      </w:r>
      <w:r>
        <w:t xml:space="preserve"> – разность отметок зоны горения, м; </w:t>
      </w:r>
      <w:r>
        <w:rPr>
          <w:i/>
        </w:rPr>
        <w:t>a</w:t>
      </w:r>
      <w:r>
        <w:t xml:space="preserve"> – безразмерный коэффициент; </w:t>
      </w:r>
      <w:r>
        <w:rPr>
          <w:i/>
        </w:rPr>
        <w:t>T</w:t>
      </w:r>
      <w:r>
        <w:rPr>
          <w:vertAlign w:val="subscript"/>
        </w:rPr>
        <w:t>м</w:t>
      </w:r>
      <w:r>
        <w:t xml:space="preserve"> и </w:t>
      </w:r>
      <w:r>
        <w:rPr>
          <w:i/>
        </w:rPr>
        <w:t>T</w:t>
      </w:r>
      <w:r>
        <w:rPr>
          <w:vertAlign w:val="subscript"/>
        </w:rPr>
        <w:t>к</w:t>
      </w:r>
      <w:r>
        <w:t xml:space="preserve"> – температура в очаге и на устье выработки, К. В отличие от формального применения методики, длина зоны горения ограничивается длиной выработки, а температура </w:t>
      </w:r>
      <w:r>
        <w:rPr>
          <w:i/>
        </w:rPr>
        <w:t>T</w:t>
      </w:r>
      <w:r>
        <w:rPr>
          <w:vertAlign w:val="subscript"/>
        </w:rPr>
        <w:t>м</w:t>
      </w:r>
      <w:r>
        <w:t xml:space="preserve"> – фактической температурой продуктов горения по формуле (1): нормативная оценка не учитывает, что именно горит, и для кабеля дает ту же температуру, что и для техники. Устойчивость оценивается показателем</w:t>
      </w:r>
    </w:p>
    <w:p>
      <w:pPr>
        <w:tabs>
          <w:tab w:pos="4563" w:val="center"/>
          <w:tab w:pos="9127" w:val="right"/>
        </w:tabs>
        <w:ind w:firstLine="0"/>
      </w:pPr>
      <w:r>
        <w:tab/>
      </w:r>
      <m:oMath>
        <m:sSub>
          <m:e>
            <m:r>
              <m:rPr/>
              <w:rPr>
                <w:rFonts w:ascii="Cambria Math" w:hAnsi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у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m:rPr/>
                  <w:rPr>
                    <w:rFonts w:ascii="Cambria Math" w:hAnsi="Cambria Math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к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р</m:t>
                </m:r>
              </m:sub>
            </m:sSub>
          </m:num>
          <m:den>
            <m:sSub>
              <m:e>
                <m:r>
                  <m:rPr/>
                  <w:rPr>
                    <w:rFonts w:ascii="Cambria Math" w:hAnsi="Cambria Math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т</m:t>
                </m:r>
              </m:sub>
            </m:sSub>
          </m:den>
        </m:f>
      </m:oMath>
      <w:r>
        <w:tab/>
        <w:t>(3)</w:t>
      </w:r>
    </w:p>
    <w:p>
      <w:pPr/>
      <w:r>
        <w:t xml:space="preserve">где </w:t>
      </w:r>
      <w:r>
        <w:rPr>
          <w:i/>
        </w:rPr>
        <w:t>h</w:t>
      </w:r>
      <w:r>
        <w:rPr>
          <w:vertAlign w:val="subscript"/>
        </w:rPr>
        <w:t>кр</w:t>
      </w:r>
      <w:r>
        <w:t xml:space="preserve"> – критическая депрессия, определяемая по сопротивлению параллельных выработок и расходам в них. Выработка устойчива при </w:t>
      </w:r>
      <w:r>
        <w:rPr>
          <w:i/>
        </w:rPr>
        <w:t>p</w:t>
      </w:r>
      <w:r>
        <w:rPr>
          <w:vertAlign w:val="subscript"/>
        </w:rPr>
        <w:t>у</w:t>
      </w:r>
      <w:r>
        <w:t xml:space="preserve"> &gt; 1; для восходящего проветривания дополнительно проверяется критический расход воздуха. Расчеты выполнены в программном комплексе «ПВ-Система», который по выборке ветвей формирует акт проверки устойчивости с приложениями расчета мощности пожара.</w:t>
      </w:r>
    </w:p>
    <w:p>
      <w:pPr/>
      <w:r>
        <w:rPr>
          <w:b/>
        </w:rPr>
        <w:t xml:space="preserve">Результаты. </w:t>
      </w:r>
      <w:r>
        <w:t>Расчет выполнен для выработок двух рудников с разными видами горючей нагрузки (табл. 1). Для ствола с кабелем при расходе 142,2 м³/с нагрев струи составляет 5,4 °C, а тепловая депрессия – 14 Па против 600 Па при условной температуре 1000 °C. Для выработок с техникой и деревянной крепью при малом расходе температура продуктов горения достигает 1000–1200 °C, и оба подхода дают близкий результат.</w:t>
      </w:r>
    </w:p>
    <w:p>
      <w:pPr>
        <w:pStyle w:val="ac"/>
      </w:pPr>
      <w:r>
        <w:t>Таблица 1</w:t>
      </w:r>
    </w:p>
    <w:p>
      <w:pPr>
        <w:pStyle w:val="ad"/>
      </w:pPr>
      <w:r>
        <w:t>Тепловая депрессия пожара при условной и расчетной температуре очага</w:t>
      </w:r>
    </w:p>
    <w:tbl>
      <w:tblPr>
        <w:tblStyle w:val="af5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2381"/>
          </w:tcPr>
          <w:p>
            <w:pPr>
              <w:pStyle w:val="-0"/>
            </w:pPr>
            <w:r/>
            <w:r>
              <w:t>Выработка (угол, длина)</w:t>
            </w:r>
          </w:p>
        </w:tc>
        <w:tc>
          <w:tcPr>
            <w:tcW w:type="dxa" w:w="1928"/>
          </w:tcPr>
          <w:p>
            <w:pPr>
              <w:pStyle w:val="-0"/>
            </w:pPr>
            <w:r/>
            <w:r>
              <w:t>Горючая нагрузка</w:t>
            </w:r>
          </w:p>
        </w:tc>
        <w:tc>
          <w:tcPr>
            <w:tcW w:type="dxa" w:w="794"/>
          </w:tcPr>
          <w:p>
            <w:pPr>
              <w:pStyle w:val="-0"/>
            </w:pPr>
            <w:r/>
            <w:r>
              <w:rPr>
                <w:i/>
              </w:rPr>
              <w:t>Q</w:t>
            </w:r>
            <w:r>
              <w:t>, м³/с</w:t>
            </w:r>
          </w:p>
        </w:tc>
        <w:tc>
          <w:tcPr>
            <w:tcW w:type="dxa" w:w="794"/>
          </w:tcPr>
          <w:p>
            <w:pPr>
              <w:pStyle w:val="-0"/>
            </w:pPr>
            <w:r/>
            <w:r>
              <w:rPr>
                <w:i/>
              </w:rPr>
              <w:t>N</w:t>
            </w:r>
            <w:r>
              <w:t>, МВт</w:t>
            </w:r>
          </w:p>
        </w:tc>
        <w:tc>
          <w:tcPr>
            <w:tcW w:type="dxa" w:w="794"/>
          </w:tcPr>
          <w:p>
            <w:pPr>
              <w:pStyle w:val="-0"/>
            </w:pPr>
            <w:r/>
            <w:r>
              <w:t>Δt, °C</w:t>
            </w:r>
          </w:p>
        </w:tc>
        <w:tc>
          <w:tcPr>
            <w:tcW w:type="dxa" w:w="1134"/>
          </w:tcPr>
          <w:p>
            <w:pPr>
              <w:pStyle w:val="-0"/>
            </w:pPr>
            <w:r/>
            <w:r>
              <w:rPr>
                <w:i/>
              </w:rPr>
              <w:t>h</w:t>
            </w:r>
            <w:r>
              <w:rPr>
                <w:vertAlign w:val="subscript"/>
              </w:rPr>
              <w:t>т</w:t>
            </w:r>
            <w:r>
              <w:t xml:space="preserve"> при 1000 °C, Па</w:t>
            </w:r>
          </w:p>
        </w:tc>
        <w:tc>
          <w:tcPr>
            <w:tcW w:type="dxa" w:w="1134"/>
          </w:tcPr>
          <w:p>
            <w:pPr>
              <w:pStyle w:val="-0"/>
            </w:pPr>
            <w:r/>
            <w:r>
              <w:rPr>
                <w:i/>
              </w:rPr>
              <w:t>h</w:t>
            </w:r>
            <w:r>
              <w:rPr>
                <w:vertAlign w:val="subscript"/>
              </w:rPr>
              <w:t>т</w:t>
            </w:r>
            <w:r>
              <w:t xml:space="preserve"> по нагрузке, Па</w:t>
            </w:r>
          </w:p>
        </w:tc>
      </w:tr>
      <w:tr>
        <w:tc>
          <w:tcPr>
            <w:tcW w:type="dxa" w:w="2381"/>
          </w:tcPr>
          <w:p>
            <w:pPr>
              <w:pStyle w:val="-"/>
            </w:pPr>
            <w:r/>
            <w:r>
              <w:t>Ствол скипо-клетевой (90°, 65 м)</w:t>
            </w:r>
          </w:p>
        </w:tc>
        <w:tc>
          <w:tcPr>
            <w:tcW w:type="dxa" w:w="1928"/>
          </w:tcPr>
          <w:p>
            <w:pPr>
              <w:pStyle w:val="-"/>
            </w:pPr>
            <w:r/>
            <w:r>
              <w:t>Кабель ПВС, 65 м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142,2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0,96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5,4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599,7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14,0</w:t>
            </w:r>
          </w:p>
        </w:tc>
      </w:tr>
      <w:tr>
        <w:tc>
          <w:tcPr>
            <w:tcW w:type="dxa" w:w="2381"/>
          </w:tcPr>
          <w:p>
            <w:pPr>
              <w:pStyle w:val="-"/>
            </w:pPr>
            <w:r/>
            <w:r>
              <w:t>Транспортный уклон (7,1°, 55,7 м)</w:t>
            </w:r>
          </w:p>
        </w:tc>
        <w:tc>
          <w:tcPr>
            <w:tcW w:type="dxa" w:w="1928"/>
          </w:tcPr>
          <w:p>
            <w:pPr>
              <w:pStyle w:val="-"/>
            </w:pPr>
            <w:r/>
            <w:r>
              <w:t>Самоходная техника ТН-545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21,2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8,04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302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63,4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41,9</w:t>
            </w:r>
          </w:p>
        </w:tc>
      </w:tr>
      <w:tr>
        <w:tc>
          <w:tcPr>
            <w:tcW w:type="dxa" w:w="2381"/>
          </w:tcPr>
          <w:p>
            <w:pPr>
              <w:pStyle w:val="-"/>
            </w:pPr>
            <w:r/>
            <w:r>
              <w:t>Заезд на ВТШ (17,4°, 67 м)</w:t>
            </w:r>
          </w:p>
        </w:tc>
        <w:tc>
          <w:tcPr>
            <w:tcW w:type="dxa" w:w="1928"/>
          </w:tcPr>
          <w:p>
            <w:pPr>
              <w:pStyle w:val="-"/>
            </w:pPr>
            <w:r/>
            <w:r>
              <w:t>ПДМ DALI VJ8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6,5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10,72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1180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126,2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126,2</w:t>
            </w:r>
          </w:p>
        </w:tc>
      </w:tr>
      <w:tr>
        <w:tc>
          <w:tcPr>
            <w:tcW w:type="dxa" w:w="2381"/>
          </w:tcPr>
          <w:p>
            <w:pPr>
              <w:pStyle w:val="-"/>
            </w:pPr>
            <w:r/>
            <w:r>
              <w:t>Вентиляционный восстающий (90°, 67 м)</w:t>
            </w:r>
          </w:p>
        </w:tc>
        <w:tc>
          <w:tcPr>
            <w:tcW w:type="dxa" w:w="1928"/>
          </w:tcPr>
          <w:p>
            <w:pPr>
              <w:pStyle w:val="-"/>
            </w:pPr>
            <w:r/>
            <w:r>
              <w:t>Деревянная крепь, 2 см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21,3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29,5</w:t>
            </w:r>
          </w:p>
        </w:tc>
        <w:tc>
          <w:tcPr>
            <w:tcW w:type="dxa" w:w="794"/>
          </w:tcPr>
          <w:p>
            <w:pPr>
              <w:pStyle w:val="-"/>
            </w:pPr>
            <w:r/>
            <w:r>
              <w:t>1104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600,7</w:t>
            </w:r>
          </w:p>
        </w:tc>
        <w:tc>
          <w:tcPr>
            <w:tcW w:type="dxa" w:w="1134"/>
          </w:tcPr>
          <w:p>
            <w:pPr>
              <w:pStyle w:val="-"/>
            </w:pPr>
            <w:r/>
            <w:r>
              <w:t>600,7</w:t>
            </w:r>
          </w:p>
        </w:tc>
      </w:tr>
    </w:tbl>
    <w:p>
      <w:pPr/>
      <w:r>
        <w:t>Расчетная мощность пожара существенно зависит от времени. Для деревянной крепи вентиляционного восстающего (рис. 1) мощность за 7 мин достигает 29,5 МВт, сохраняется до полного прохода пламени по выработке и затем снижается; к прибытию отделения ВГСЧ через 30 мин пожар находится в наиболее опасной фазе. На тестовой сети из двух стволов, соединенных выработкой, программа определила для нисходящего ствола тепловую депрессию 516 Па, критическую – 936 Па и показатель устойчивости 1,81.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b"/>
      </w:pPr>
      <w:r>
        <w:t>Рис. 1. Мощность пожара деревянной крепи и температура вентиляционной струи в вентиляционном восстающем (</w:t>
      </w:r>
      <w:r>
        <w:rPr>
          <w:i/>
        </w:rPr>
        <w:t>Q</w:t>
      </w:r>
      <w:r>
        <w:t xml:space="preserve"> = 21,3 м³/с)</w:t>
      </w:r>
    </w:p>
    <w:p>
      <w:pPr/>
      <w:r>
        <w:rPr>
          <w:b/>
        </w:rPr>
        <w:t xml:space="preserve">Обсуждение. </w:t>
      </w:r>
      <w:r>
        <w:t>Полученные данные согласуются с выводами экспериментальных исследований о том, что опрокидывание струи определяется соотношением тепловой мощности очага и расхода воздуха, а не температурой пламени как таковой [1, 2]. Условная температура 1000 °C оправдана для мощных очагов при малом расходе, но для выработок с большим расходом и малой нагрузкой приводит к ложному выводу о неустойчивости и к избыточным мерам – установке дополнительных перемычек и регуляторов. Сетевые модели пожара в зарубежных программах также опираются на расчетную мощность очага [8]. Различие результатов программ на одной сети показывает, что для надзорной практики важна прозрачность исходных данных и формул, а не только итоговый вывод [9, 10].</w:t>
      </w:r>
    </w:p>
    <w:p>
      <w:pPr/>
      <w:r>
        <w:rPr>
          <w:b/>
        </w:rPr>
        <w:t xml:space="preserve">Заключение. </w:t>
      </w:r>
      <w:r>
        <w:t>Проверку устойчивости проветривания целесообразно выполнять по фактической пожарной нагрузке каждой наклонной выработки с учетом расхода воздуха в ней. Это устраняет многократное завышение тепловой депрессии в выработках с большим расходом и сосредотачивает профилактические меры на действительно опасных участках. Порядок расчета реализован в программном комплексе «ПВ-Система» и применяется при подготовке актов проверки устойчивости к ПМЛЛПА. Дальнейшая работа – учет нестационарности пожара во времени и сопоставление расчетов с данными депрессионных съемок.</w:t>
      </w:r>
    </w:p>
    <w:p>
      <w:pPr>
        <w:pStyle w:val="a7"/>
      </w:pPr>
      <w:r>
        <w:t>Список литературы</w:t>
      </w:r>
    </w:p>
    <w:p>
      <w:pPr>
        <w:pStyle w:val="a6"/>
      </w:pPr>
      <w:r>
        <w:t>1.</w:t>
        <w:tab/>
        <w:t>Levin L., Popov M., Semin M., Zhikharev S. Experimental and Numerical Study of Air Flow Reversal Induced by Fire in an Inclined Mine Working // Applied Sciences. 2024. Vol. 14. № 15. Art. 6840. DOI: 10.3390/app14156840.</w:t>
      </w:r>
    </w:p>
    <w:p>
      <w:pPr>
        <w:pStyle w:val="a6"/>
      </w:pPr>
      <w:r>
        <w:t>2.</w:t>
        <w:tab/>
        <w:t>Шалимов А.В., Жихарев С.Я., Семин М.А., Кузьминых Е.Г. Низкотемпературное масштабное моделирование устойчивости движения воздуха в наклонной горной выработке с источником выделения тепла // Вестник Пермского научного центра. 2026. № 1. С. 19-32. DOI: 10.7242/2658-705X/2026.1.2.</w:t>
      </w:r>
    </w:p>
    <w:p>
      <w:pPr>
        <w:pStyle w:val="a6"/>
      </w:pPr>
      <w:r>
        <w:t>3.</w:t>
        <w:tab/>
        <w:t>Hu D., Li Z., Wang H., Xu H., Miao C. Smoke dispersion test and emergency control plan of fire in mine roadway during downward ventilation // Scientific Reports. 2023. Vol. 13. Art. 3683. DOI: 10.1038/s41598-023-30779-6.</w:t>
      </w:r>
    </w:p>
    <w:p>
      <w:pPr>
        <w:pStyle w:val="a6"/>
      </w:pPr>
      <w:r>
        <w:t>4.</w:t>
        <w:tab/>
        <w:t>Zhou F., Wang D. Study on the Mechanism and Factors Influencing Throttling of Roadway Fire // Mine Environment and Ventilation. London: CRC Press, 2026. P. 439-445. DOI: 10.1201/9781003762119-54.</w:t>
      </w:r>
    </w:p>
    <w:p>
      <w:pPr>
        <w:pStyle w:val="a6"/>
      </w:pPr>
      <w:r>
        <w:t>5.</w:t>
        <w:tab/>
        <w:t>Hansen R. Proposed design fire scenarios for underground hard rock mines // Journal of Sustainable Mining. 2022. Vol. 21. № 4. P. 261-277. DOI: 10.46873/2300-3960.1367.</w:t>
      </w:r>
    </w:p>
    <w:p>
      <w:pPr>
        <w:pStyle w:val="a6"/>
      </w:pPr>
      <w:r>
        <w:t>6.</w:t>
        <w:tab/>
        <w:t>Hansen R. Varying Heat Release Rates per Unit Area – The Impact in Underground Mines // Mining Revue. 2023. Vol. 29. № 4. P. 1-28. DOI: 10.2478/minrv-2023-0028.</w:t>
      </w:r>
    </w:p>
    <w:p>
      <w:pPr>
        <w:pStyle w:val="a6"/>
      </w:pPr>
      <w:r>
        <w:t>7.</w:t>
        <w:tab/>
        <w:t>Zhou L., Yuan L., Thomas R., Bahrami D., Rowland J. An Improved Method to Calculate the Heat Release Rate of a Mine Fire in Underground Mines // Mining, Metallurgy &amp; Exploration. 2020. Vol. 37. № 6. P. 1941-1949. DOI: 10.1007/s42461-020-00276-9.</w:t>
      </w:r>
    </w:p>
    <w:p>
      <w:pPr>
        <w:pStyle w:val="a6"/>
      </w:pPr>
      <w:r>
        <w:t>8.</w:t>
        <w:tab/>
        <w:t>Stewart C.M. Challenges and solutions in the development of the VentFIRE mine network fire simulator // Mine Ventilation. London: CRC Press, 2021. P. 300-308. DOI: 10.1201/9781003188476-31.</w:t>
      </w:r>
    </w:p>
    <w:p>
      <w:pPr>
        <w:pStyle w:val="a6"/>
      </w:pPr>
      <w:r>
        <w:t>9.</w:t>
        <w:tab/>
        <w:t>Каледина Н.О., Малашкина В.А. Индикаторная оценка надежности функционирования шахтных вентиляционно-дегазационных систем // Записки Горного института. 2021. Т. 250. С. 553-561. DOI: 10.31897/PMI.2021.4.8.</w:t>
      </w:r>
    </w:p>
    <w:p>
      <w:pPr>
        <w:pStyle w:val="a6"/>
      </w:pPr>
      <w:r>
        <w:t>10.</w:t>
        <w:tab/>
        <w:t>Levin L.Yu., Semin M.A., Maltsev S.V., Zaitsev A.V. Methodological framework for designing ventilation control systems for complex mine ventilation networks // Mining Science and Technology (Russia). 2026. Vol. 11. № 1. P. 70-79. DOI: 10.17073/2500-0632-2025-08-1022.</w:t>
      </w:r>
    </w:p>
    <w:sectPr w:rsidR="00AD2622" w:rsidSect="007640B8">
      <w:pgSz w:w="11906" w:h="16838"/>
      <w:pgMar w:top="1247" w:right="1418" w:bottom="1588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EBB" w:rsidRDefault="00702EBB" w:rsidP="00381793">
      <w:r>
        <w:separator/>
      </w:r>
    </w:p>
  </w:endnote>
  <w:endnote w:type="continuationSeparator" w:id="0">
    <w:p w:rsidR="00702EBB" w:rsidRDefault="00702EBB" w:rsidP="0038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EBB" w:rsidRDefault="00702EBB" w:rsidP="00381793">
      <w:r>
        <w:separator/>
      </w:r>
    </w:p>
  </w:footnote>
  <w:footnote w:type="continuationSeparator" w:id="0">
    <w:p w:rsidR="00702EBB" w:rsidRDefault="00702EBB" w:rsidP="00381793">
      <w:r>
        <w:continuationSeparator/>
      </w:r>
    </w:p>
  </w:footnote>
  <w:footnote w:id="1">
    <w:p w:rsidR="00916516" w:rsidRPr="00381793" w:rsidRDefault="00381793" w:rsidP="00916516">
      <w:pPr>
        <w:rPr>
          <w:i/>
          <w:iCs/>
          <w:color w:val="0000CC"/>
          <w:spacing w:val="-2"/>
          <w:sz w:val="20"/>
          <w:szCs w:val="20"/>
        </w:rPr>
      </w:pPr>
      <w:r>
        <w:rPr>
          <w:rStyle w:val="af4"/>
        </w:rPr>
        <w:footnoteRef/>
      </w:r>
      <w:r>
        <w:t xml:space="preserve"> </w:t>
      </w:r>
      <w:r w:rsidR="00916516" w:rsidRPr="0028346B">
        <w:rPr>
          <w:b/>
          <w:i/>
          <w:iCs/>
          <w:color w:val="0000CC"/>
          <w:spacing w:val="-2"/>
          <w:sz w:val="20"/>
          <w:szCs w:val="20"/>
        </w:rPr>
        <w:t>Интернет-ресурс</w:t>
      </w:r>
      <w:r w:rsidR="00916516" w:rsidRPr="00381793">
        <w:rPr>
          <w:i/>
          <w:iCs/>
          <w:color w:val="0000CC"/>
          <w:spacing w:val="-2"/>
          <w:sz w:val="20"/>
          <w:szCs w:val="20"/>
        </w:rPr>
        <w:t>: Сайт: Название документа. URL: http://... (дата обращения ХХ.ХХ.ХХХХ)</w:t>
      </w:r>
    </w:p>
    <w:p w:rsidR="00916516" w:rsidRPr="000945FA" w:rsidRDefault="00916516" w:rsidP="00916516">
      <w:pPr>
        <w:ind w:firstLine="0"/>
        <w:rPr>
          <w:rFonts w:cstheme="minorHAnsi"/>
          <w:color w:val="002060"/>
          <w:szCs w:val="24"/>
        </w:rPr>
      </w:pPr>
      <w:r w:rsidRPr="0028346B">
        <w:rPr>
          <w:i/>
          <w:iCs/>
          <w:color w:val="0000CC"/>
          <w:spacing w:val="-2"/>
          <w:sz w:val="20"/>
          <w:szCs w:val="20"/>
          <w:u w:val="single"/>
        </w:rPr>
        <w:t>Пример</w:t>
      </w:r>
      <w:r>
        <w:rPr>
          <w:i/>
          <w:iCs/>
          <w:color w:val="0000CC"/>
          <w:spacing w:val="-2"/>
          <w:sz w:val="20"/>
          <w:szCs w:val="20"/>
        </w:rPr>
        <w:t xml:space="preserve">: </w:t>
      </w:r>
      <w:r w:rsidRPr="00916516">
        <w:rPr>
          <w:i/>
          <w:iCs/>
          <w:color w:val="0000CC"/>
          <w:spacing w:val="-2"/>
          <w:sz w:val="20"/>
          <w:szCs w:val="20"/>
        </w:rPr>
        <w:t xml:space="preserve">ГОСТ Р 51303-2013. Торговля. Термины и определения: национальный стандарт Российской </w:t>
      </w:r>
      <w:proofErr w:type="gramStart"/>
      <w:r w:rsidRPr="00916516">
        <w:rPr>
          <w:i/>
          <w:iCs/>
          <w:color w:val="0000CC"/>
          <w:spacing w:val="-2"/>
          <w:sz w:val="20"/>
          <w:szCs w:val="20"/>
        </w:rPr>
        <w:t>Федерации :</w:t>
      </w:r>
      <w:proofErr w:type="gramEnd"/>
      <w:r w:rsidRPr="00916516">
        <w:rPr>
          <w:i/>
          <w:iCs/>
          <w:color w:val="0000CC"/>
          <w:spacing w:val="-2"/>
          <w:sz w:val="20"/>
          <w:szCs w:val="20"/>
        </w:rPr>
        <w:t xml:space="preserve"> издание официальное : утвержден и введен в действие Приказом Федерального агентства по техническому регулированию и метрологии от 28 августа 2013 г. № 582-ст : дата введения 2014-04-01. - URL: </w:t>
      </w:r>
      <w:hyperlink r:id="rId1" w:history="1">
        <w:r w:rsidRPr="00916516">
          <w:rPr>
            <w:i/>
            <w:iCs/>
            <w:color w:val="0000CC"/>
            <w:spacing w:val="-2"/>
            <w:sz w:val="20"/>
            <w:szCs w:val="20"/>
          </w:rPr>
          <w:t>https://docs.cntd.ru/document/1200108793?ysclid=lt2xd1n8ir220481691</w:t>
        </w:r>
      </w:hyperlink>
      <w:r w:rsidRPr="00916516">
        <w:rPr>
          <w:i/>
          <w:iCs/>
          <w:color w:val="0000CC"/>
          <w:spacing w:val="-2"/>
          <w:sz w:val="20"/>
          <w:szCs w:val="20"/>
        </w:rPr>
        <w:t xml:space="preserve"> (дата обращения: 26.0</w:t>
      </w:r>
      <w:r>
        <w:rPr>
          <w:i/>
          <w:iCs/>
          <w:color w:val="0000CC"/>
          <w:spacing w:val="-2"/>
          <w:sz w:val="20"/>
          <w:szCs w:val="20"/>
        </w:rPr>
        <w:t>6</w:t>
      </w:r>
      <w:r w:rsidRPr="00916516">
        <w:rPr>
          <w:i/>
          <w:iCs/>
          <w:color w:val="0000CC"/>
          <w:spacing w:val="-2"/>
          <w:sz w:val="20"/>
          <w:szCs w:val="20"/>
        </w:rPr>
        <w:t>.202</w:t>
      </w:r>
      <w:r>
        <w:rPr>
          <w:i/>
          <w:iCs/>
          <w:color w:val="0000CC"/>
          <w:spacing w:val="-2"/>
          <w:sz w:val="20"/>
          <w:szCs w:val="20"/>
        </w:rPr>
        <w:t>5</w:t>
      </w:r>
      <w:r w:rsidRPr="00916516">
        <w:rPr>
          <w:i/>
          <w:iCs/>
          <w:color w:val="0000CC"/>
          <w:spacing w:val="-2"/>
          <w:sz w:val="20"/>
          <w:szCs w:val="20"/>
        </w:rPr>
        <w:t>)</w:t>
      </w:r>
    </w:p>
    <w:p w:rsidR="00381793" w:rsidRDefault="00381793" w:rsidP="00916516"/>
  </w:footnote>
  <w:footnote w:id="1">
    <w:p>
      <w:pPr>
        <w:pStyle w:val="af2"/>
      </w:pPr>
      <w:r>
        <w:rPr>
          <w:rStyle w:val="af4"/>
        </w:rPr>
        <w:footnoteRef/>
      </w:r>
      <w:r>
        <w:t xml:space="preserve"> СИТИС-СПН-1. Пожарная нагрузка. Справочник для рудников. Ред. от 15.05.2014.</w:t>
      </w:r>
    </w:p>
  </w:footnote>
  <w:footnote w:id="2">
    <w:p>
      <w:pPr>
        <w:pStyle w:val="af2"/>
      </w:pPr>
      <w:r>
        <w:rPr>
          <w:rStyle w:val="af4"/>
        </w:rPr>
        <w:footnoteRef/>
      </w:r>
      <w:r>
        <w:t xml:space="preserve"> Методика оценки устойчивости проветривания горных выработок при пожаре: формулы (4.5)–(4.13), приложения 3, 5, 7. [Уточнить наименование и реквизиты нормативного документа.]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32C1"/>
    <w:rsid w:val="000115F2"/>
    <w:rsid w:val="001C1781"/>
    <w:rsid w:val="0028346B"/>
    <w:rsid w:val="00287B33"/>
    <w:rsid w:val="002C30F8"/>
    <w:rsid w:val="003134C8"/>
    <w:rsid w:val="00381793"/>
    <w:rsid w:val="003A3FD9"/>
    <w:rsid w:val="00613EAC"/>
    <w:rsid w:val="006C6810"/>
    <w:rsid w:val="00702EBB"/>
    <w:rsid w:val="0075683F"/>
    <w:rsid w:val="007640B8"/>
    <w:rsid w:val="007832C1"/>
    <w:rsid w:val="008D20CD"/>
    <w:rsid w:val="00916516"/>
    <w:rsid w:val="00931DC8"/>
    <w:rsid w:val="00936EBB"/>
    <w:rsid w:val="009E67A7"/>
    <w:rsid w:val="00A95A58"/>
    <w:rsid w:val="00AD2622"/>
    <w:rsid w:val="00B41597"/>
    <w:rsid w:val="00BE5512"/>
    <w:rsid w:val="00C53CAA"/>
    <w:rsid w:val="00D2781F"/>
    <w:rsid w:val="00D800A8"/>
    <w:rsid w:val="00DC2C85"/>
    <w:rsid w:val="00DD0ED1"/>
    <w:rsid w:val="00F7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BC246C-3CB5-4DF3-92F2-EB025C84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2C1"/>
    <w:pPr>
      <w:ind w:firstLine="709"/>
      <w:jc w:val="both"/>
    </w:pPr>
    <w:rPr>
      <w:rFonts w:eastAsia="Calibri"/>
      <w:sz w:val="24"/>
      <w:szCs w:val="22"/>
    </w:rPr>
  </w:style>
  <w:style w:type="paragraph" w:styleId="1">
    <w:name w:val="heading 1"/>
    <w:basedOn w:val="a"/>
    <w:link w:val="10"/>
    <w:uiPriority w:val="9"/>
    <w:qFormat/>
    <w:rsid w:val="00916516"/>
    <w:pPr>
      <w:spacing w:before="100" w:beforeAutospacing="1" w:after="100" w:afterAutospacing="1"/>
      <w:ind w:firstLine="0"/>
      <w:jc w:val="left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ннотация"/>
    <w:basedOn w:val="a"/>
    <w:qFormat/>
    <w:rsid w:val="007832C1"/>
    <w:pPr>
      <w:spacing w:after="240"/>
      <w:ind w:left="709" w:right="709" w:firstLine="0"/>
    </w:pPr>
    <w:rPr>
      <w:sz w:val="20"/>
    </w:rPr>
  </w:style>
  <w:style w:type="paragraph" w:customStyle="1" w:styleId="a4">
    <w:name w:val="Авторы"/>
    <w:basedOn w:val="a"/>
    <w:qFormat/>
    <w:rsid w:val="007832C1"/>
    <w:pPr>
      <w:keepNext/>
      <w:ind w:firstLine="0"/>
      <w:jc w:val="right"/>
    </w:pPr>
    <w:rPr>
      <w:rFonts w:ascii="Times New Roman Полужирный" w:eastAsia="Times New Roman" w:hAnsi="Times New Roman Полужирный"/>
      <w:b/>
      <w:sz w:val="20"/>
      <w:szCs w:val="28"/>
      <w:lang w:eastAsia="ru-RU"/>
    </w:rPr>
  </w:style>
  <w:style w:type="paragraph" w:customStyle="1" w:styleId="a5">
    <w:name w:val="Аффилиация"/>
    <w:qFormat/>
    <w:rsid w:val="007832C1"/>
    <w:pPr>
      <w:keepNext/>
      <w:jc w:val="right"/>
    </w:pPr>
    <w:rPr>
      <w:rFonts w:eastAsia="Times New Roman"/>
      <w:i/>
      <w:szCs w:val="28"/>
      <w:lang w:eastAsia="ru-RU"/>
    </w:rPr>
  </w:style>
  <w:style w:type="paragraph" w:customStyle="1" w:styleId="a6">
    <w:name w:val="Биб_список"/>
    <w:basedOn w:val="a"/>
    <w:next w:val="a"/>
    <w:qFormat/>
    <w:rsid w:val="007832C1"/>
    <w:pPr>
      <w:tabs>
        <w:tab w:val="left" w:pos="1134"/>
      </w:tabs>
    </w:pPr>
    <w:rPr>
      <w:rFonts w:eastAsia="Times New Roman"/>
      <w:sz w:val="20"/>
      <w:szCs w:val="28"/>
    </w:rPr>
  </w:style>
  <w:style w:type="paragraph" w:customStyle="1" w:styleId="a7">
    <w:name w:val="Литература"/>
    <w:basedOn w:val="a"/>
    <w:qFormat/>
    <w:rsid w:val="007832C1"/>
    <w:pPr>
      <w:keepNext/>
      <w:spacing w:before="360" w:after="120"/>
      <w:ind w:firstLine="0"/>
      <w:jc w:val="center"/>
    </w:pPr>
    <w:rPr>
      <w:rFonts w:eastAsia="Times New Roman"/>
      <w:b/>
      <w:sz w:val="22"/>
      <w:szCs w:val="28"/>
    </w:rPr>
  </w:style>
  <w:style w:type="paragraph" w:customStyle="1" w:styleId="a8">
    <w:name w:val="Науч.рук"/>
    <w:qFormat/>
    <w:rsid w:val="007832C1"/>
    <w:pPr>
      <w:spacing w:before="360" w:after="120"/>
      <w:ind w:firstLine="709"/>
      <w:jc w:val="both"/>
    </w:pPr>
    <w:rPr>
      <w:rFonts w:eastAsia="Calibri"/>
      <w:bCs/>
      <w:i/>
      <w:szCs w:val="22"/>
    </w:rPr>
  </w:style>
  <w:style w:type="paragraph" w:customStyle="1" w:styleId="2">
    <w:name w:val="Заголовок2"/>
    <w:link w:val="20"/>
    <w:qFormat/>
    <w:rsid w:val="007832C1"/>
    <w:pPr>
      <w:suppressAutoHyphens/>
      <w:spacing w:before="240" w:after="240"/>
      <w:jc w:val="center"/>
    </w:pPr>
    <w:rPr>
      <w:rFonts w:eastAsia="Times New Roman"/>
      <w:b/>
      <w:sz w:val="26"/>
      <w:szCs w:val="26"/>
      <w:lang w:eastAsia="ru-RU"/>
    </w:rPr>
  </w:style>
  <w:style w:type="character" w:customStyle="1" w:styleId="20">
    <w:name w:val="Заголовок2 Знак"/>
    <w:basedOn w:val="a0"/>
    <w:link w:val="2"/>
    <w:rsid w:val="007832C1"/>
    <w:rPr>
      <w:rFonts w:eastAsia="Times New Roman"/>
      <w:b/>
      <w:sz w:val="26"/>
      <w:szCs w:val="26"/>
      <w:lang w:eastAsia="ru-RU"/>
    </w:rPr>
  </w:style>
  <w:style w:type="paragraph" w:customStyle="1" w:styleId="a9">
    <w:name w:val="УДК"/>
    <w:basedOn w:val="a"/>
    <w:link w:val="aa"/>
    <w:qFormat/>
    <w:rsid w:val="007832C1"/>
    <w:pPr>
      <w:keepNext/>
      <w:ind w:firstLine="0"/>
    </w:pPr>
    <w:rPr>
      <w:sz w:val="20"/>
      <w:szCs w:val="24"/>
    </w:rPr>
  </w:style>
  <w:style w:type="character" w:customStyle="1" w:styleId="aa">
    <w:name w:val="УДК Знак"/>
    <w:basedOn w:val="a0"/>
    <w:link w:val="a9"/>
    <w:rsid w:val="007832C1"/>
    <w:rPr>
      <w:rFonts w:eastAsia="Calibri"/>
      <w:szCs w:val="24"/>
    </w:rPr>
  </w:style>
  <w:style w:type="paragraph" w:customStyle="1" w:styleId="ab">
    <w:name w:val="Подпись к рисунку"/>
    <w:qFormat/>
    <w:rsid w:val="007832C1"/>
    <w:pPr>
      <w:spacing w:before="120" w:after="360"/>
      <w:jc w:val="center"/>
    </w:pPr>
    <w:rPr>
      <w:rFonts w:eastAsia="Times New Roman"/>
      <w:szCs w:val="28"/>
    </w:rPr>
  </w:style>
  <w:style w:type="paragraph" w:customStyle="1" w:styleId="ac">
    <w:name w:val="Таблица"/>
    <w:qFormat/>
    <w:rsid w:val="007832C1"/>
    <w:pPr>
      <w:keepNext/>
      <w:spacing w:before="240" w:after="120" w:line="235" w:lineRule="auto"/>
      <w:jc w:val="right"/>
    </w:pPr>
    <w:rPr>
      <w:rFonts w:eastAsia="Calibri"/>
      <w:i/>
      <w:szCs w:val="24"/>
    </w:rPr>
  </w:style>
  <w:style w:type="paragraph" w:customStyle="1" w:styleId="ad">
    <w:name w:val="Таблица название"/>
    <w:qFormat/>
    <w:rsid w:val="007832C1"/>
    <w:pPr>
      <w:keepNext/>
      <w:suppressAutoHyphens/>
      <w:spacing w:after="120" w:line="235" w:lineRule="auto"/>
      <w:jc w:val="center"/>
    </w:pPr>
    <w:rPr>
      <w:rFonts w:eastAsia="Calibri"/>
      <w:b/>
      <w:szCs w:val="24"/>
    </w:rPr>
  </w:style>
  <w:style w:type="paragraph" w:customStyle="1" w:styleId="-">
    <w:name w:val="Таблица-текст"/>
    <w:qFormat/>
    <w:rsid w:val="007832C1"/>
    <w:pPr>
      <w:suppressAutoHyphens/>
      <w:spacing w:line="235" w:lineRule="auto"/>
      <w:jc w:val="center"/>
    </w:pPr>
    <w:rPr>
      <w:rFonts w:eastAsia="Calibri"/>
    </w:rPr>
  </w:style>
  <w:style w:type="paragraph" w:customStyle="1" w:styleId="-0">
    <w:name w:val="Таблица-шапка"/>
    <w:qFormat/>
    <w:rsid w:val="007832C1"/>
    <w:pPr>
      <w:suppressAutoHyphens/>
      <w:jc w:val="center"/>
    </w:pPr>
    <w:rPr>
      <w:rFonts w:eastAsia="Calibri"/>
      <w:b/>
      <w:sz w:val="18"/>
    </w:rPr>
  </w:style>
  <w:style w:type="paragraph" w:styleId="ae">
    <w:name w:val="Document Map"/>
    <w:basedOn w:val="a"/>
    <w:link w:val="af"/>
    <w:uiPriority w:val="99"/>
    <w:semiHidden/>
    <w:unhideWhenUsed/>
    <w:rsid w:val="00287B33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287B33"/>
    <w:rPr>
      <w:rFonts w:ascii="Tahoma" w:eastAsia="Calibri" w:hAnsi="Tahoma" w:cs="Tahoma"/>
      <w:sz w:val="16"/>
      <w:szCs w:val="16"/>
    </w:rPr>
  </w:style>
  <w:style w:type="paragraph" w:styleId="af0">
    <w:name w:val="Balloon Text"/>
    <w:basedOn w:val="a"/>
    <w:link w:val="af1"/>
    <w:uiPriority w:val="99"/>
    <w:semiHidden/>
    <w:unhideWhenUsed/>
    <w:rsid w:val="00287B3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87B33"/>
    <w:rPr>
      <w:rFonts w:ascii="Tahoma" w:eastAsia="Calibri" w:hAnsi="Tahoma" w:cs="Tahoma"/>
      <w:sz w:val="16"/>
      <w:szCs w:val="16"/>
    </w:rPr>
  </w:style>
  <w:style w:type="paragraph" w:styleId="af2">
    <w:name w:val="footnote text"/>
    <w:basedOn w:val="a"/>
    <w:link w:val="af3"/>
    <w:uiPriority w:val="99"/>
    <w:semiHidden/>
    <w:unhideWhenUsed/>
    <w:rsid w:val="00381793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381793"/>
    <w:rPr>
      <w:rFonts w:eastAsia="Calibri"/>
    </w:rPr>
  </w:style>
  <w:style w:type="character" w:styleId="af4">
    <w:name w:val="footnote reference"/>
    <w:basedOn w:val="a0"/>
    <w:uiPriority w:val="99"/>
    <w:semiHidden/>
    <w:unhideWhenUsed/>
    <w:rsid w:val="00381793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916516"/>
    <w:rPr>
      <w:rFonts w:eastAsia="Times New Roman"/>
      <w:b/>
      <w:bCs/>
      <w:kern w:val="36"/>
      <w:sz w:val="48"/>
      <w:szCs w:val="48"/>
      <w:lang w:eastAsia="ru-RU"/>
    </w:rPr>
  </w:style>
  <w:style w:type="table" w:styleId="af5">
    <w:name w:val="Table Grid"/>
    <w:basedOn w:val="a1"/>
    <w:uiPriority w:val="39"/>
    <w:rsid w:val="00916516"/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teacode.com/online/udc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cs.cntd.ru/document/1200108793?ysclid=lt2xd1n8ir22048169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EC97B9-2509-4B85-BBC6-487C4326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Тезисы доклада</dc:title>
  <dc:subject/>
  <dc:creator>Ипатов С.Г.</dc:creator>
  <cp:keywords/>
  <dc:description/>
  <cp:lastModifiedBy>Синявина Светлана Викторовна</cp:lastModifiedBy>
  <cp:revision>11</cp:revision>
  <cp:lastPrinted>2025-07-03T12:39:00Z</cp:lastPrinted>
  <dcterms:created xsi:type="dcterms:W3CDTF">2025-07-01T13:24:00Z</dcterms:created>
  <dcterms:modified xsi:type="dcterms:W3CDTF">2025-07-03T14:11:00Z</dcterms:modified>
</cp:coreProperties>
</file>