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654"/>
      </w:tblGrid>
      <w:tr>
        <w:tc>
          <w:tcPr>
            <w:tcW w:type="dxa" w:w="21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983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98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АВТОНОМНАЯ НЕКОММЕРЧЕСКАЯ ОРГАНИЗАЦИЯ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дополнительного профессионального образования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color w:val="1F4E79"/>
                <w:sz w:val="30"/>
              </w:rPr>
              <w:t>«Учебный центр ГорГазНефть»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444444"/>
                <w:sz w:val="17"/>
              </w:rPr>
              <w:t>453839, РФ, Республика Башкортостан, г. Сибай, ул. Куйбышева, д. 20, офис 32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444444"/>
                <w:sz w:val="17"/>
              </w:rPr>
              <w:t>тел./факс: 8 (347) 5-93-98 · 8 960 383-30-66 · 8 960 392-42-55 · e-mail: gorgazneft@mail.ru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444444"/>
                <w:sz w:val="17"/>
              </w:rPr>
              <w:t>Р/сч 40703810880690000003 · к/сч 30101810200000000593 · БИК 044525593, АО «АЛЬФА-БАНК»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444444"/>
                <w:sz w:val="17"/>
              </w:rPr>
              <w:t>ОКПО 85507143 · ИНН 0268104892 · КПП 026801001</w:t>
            </w:r>
          </w:p>
        </w:tc>
      </w:tr>
    </w:tbl>
    <w:p>
      <w:pPr>
        <w:spacing w:after="0"/>
        <w:pBdr>
          <w:bottom w:val="single" w:sz="12" w:color="1F4E79" w:space="1"/>
        </w:pBdr>
      </w:pPr>
    </w:p>
    <w:p>
      <w:pPr>
        <w:spacing w:before="80" w:after="60"/>
        <w:jc w:val="left"/>
      </w:pPr>
      <w:r>
        <w:rPr>
          <w:rFonts w:ascii="Times New Roman" w:hAnsi="Times New Roman"/>
          <w:b w:val="0"/>
          <w:i w:val="0"/>
          <w:color w:val="444444"/>
          <w:sz w:val="20"/>
        </w:rPr>
        <w:t>Исх. № 58 от «05» сентября 2026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9"/>
        <w:gridCol w:w="4819"/>
      </w:tblGrid>
      <w:tr>
        <w:tc>
          <w:tcPr>
            <w:tcW w:type="dxa" w:w="4989"/>
          </w:tcPr>
          <w:p/>
        </w:tc>
        <w:tc>
          <w:tcPr>
            <w:tcW w:type="dxa" w:w="4819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Генеральному директору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АО «Богословское рудоуправление»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О. А. Зубкову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Jerih@polymetal.ru</w:t>
            </w:r>
          </w:p>
        </w:tc>
      </w:tr>
    </w:tbl>
    <w:p>
      <w:pPr>
        <w:spacing w:before="240" w:after="20"/>
        <w:jc w:val="center"/>
      </w:pPr>
      <w:r>
        <w:rPr>
          <w:rFonts w:ascii="Times New Roman" w:hAnsi="Times New Roman"/>
          <w:b/>
          <w:i w:val="0"/>
          <w:color w:val="1F4E79"/>
          <w:sz w:val="30"/>
        </w:rPr>
        <w:t>КОММЕРЧЕСКОЕ ПРЕДЛОЖЕНИЕ</w:t>
      </w:r>
    </w:p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444444"/>
          <w:sz w:val="24"/>
        </w:rPr>
        <w:t>на поставку лицензии программного комплекса «ПВ-Система»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3"/>
        </w:rPr>
        <w:t>Уважаемый Олег Александрович!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2"/>
        </w:rPr>
        <w:t>Автономная некоммерческая организация ДПО «Учебный центр ГорГазНефть» предлагает заключить лицензионное соглашение на право использования программного комплекса «ПВ-Система» — отечественного решения для проектирования и расчёта систем вентиляции, противопожарного водоснабжения и планирования ликвидации аварий на рудниках и шахтах.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2"/>
        </w:rPr>
        <w:t>Комплекс разработан с учётом требований федеральных норм и правил в области промышленной безопасности и обеспечивает выполнение расчётов, предусмотренных приказами Ростехнадзора № 467 от 27.11.2020, № 505 от 08.12.2020 и № 520 от 11.12.2020, в части режимов проветривания рудников, противопожарной защиты и определения зон поражения при взрывах в горных выработках.</w:t>
      </w:r>
    </w:p>
    <w:p>
      <w:pPr>
        <w:keepNext/>
        <w:spacing w:before="240" w:after="100"/>
        <w:jc w:val="left"/>
        <w:pBdr>
          <w:bottom w:val="single" w:sz="6" w:color="1F4E79" w:space="2"/>
        </w:pBdr>
      </w:pPr>
      <w:r>
        <w:rPr>
          <w:rFonts w:ascii="Times New Roman" w:hAnsi="Times New Roman"/>
          <w:b/>
          <w:color w:val="1F4E79"/>
          <w:sz w:val="26"/>
        </w:rPr>
        <w:t>1. Назначение комплекса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2"/>
        </w:rPr>
        <w:t>«ПВ-Система» — единая среда, в которой вентиляционная сеть рудника строится один раз и далее используется всеми расчётными модулями: воздухораспределением, аварийными режимами, противопожарным водоснабжением и планом ликвидации аварий. Это исключает расхождение исходных данных между разделами проекта и повторный ввод информации.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2"/>
        </w:rPr>
        <w:t>Комплекс решает следующие задачи предприятия: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воздухораспределения и подбор вентиляционного оборудования;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определение требуемого количества воздуха по забоям и участкам;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вентиляции тупиковых выработок — подбор ВМП и вентиляционного става;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моделирование аварийных режимов — пожара и взрыва;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гидравлический расчёт противопожарного трубопровода;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разработка и проверка планов ликвидации аварий;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маршрутов горноспасателей и времени вывода горнорабочих;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подготовка графической и табличной документации для проекта и экспертизы.</w:t>
      </w:r>
    </w:p>
    <w:p>
      <w:pPr>
        <w:keepNext/>
        <w:spacing w:before="240" w:after="100"/>
        <w:jc w:val="left"/>
        <w:pBdr>
          <w:bottom w:val="single" w:sz="6" w:color="1F4E79" w:space="2"/>
        </w:pBdr>
      </w:pPr>
      <w:r>
        <w:rPr>
          <w:rFonts w:ascii="Times New Roman" w:hAnsi="Times New Roman"/>
          <w:b/>
          <w:color w:val="1F4E79"/>
          <w:sz w:val="26"/>
        </w:rPr>
        <w:t>2. Функциональные возможности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2.1. Расчёт воздухораспределения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сети методом контурных расходов (МКР) и методом Кросса на основе законов Кирхгофа с контролем сходимости по невязке депрессии и расхода;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учёт естественной тяги, тепловой депрессии и температурного режима выработок;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автоматический расчёт аэродинамического сопротивления по геометрии выработки, форме сечения (круглое, прямоугольное, арочное, трапециевидное, произвольное) и типу крепи;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работа вентиляторов в параллель, реверсивные режимы, регулирование углом установки лопаток, учёт сопротивления вентиляционных окон и перемычек;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доли загрязнённого воздуха и рециркуляции — балансовое смешение потоков в узлах;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построение депрессиограммы главного маршрута с выгрузкой в Excel;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протокол расчёта с невязками по узлам и контурам — сходимость можно проверить.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2.2. Расчёт количества воздуха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позабойный расчёт с суммированием по участкам, блокам и панелям;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определение потребности по четырём факторам с выбором наибольшего: по числу людей, по газам взрывных работ, по дизельному оборудованию и по минимальной скорости движения воздуха;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проверка результата по минимальной и максимальной допустимым скоростям;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редактируемый справочник норм — предприятие может применять согласованные значения, в том числе сниженные нормы для современной дизельной техники;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сводная ведомость по руднику с итогами по участкам и выгрузкой в Excel с листом применённых норм.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2.3. Проветривание тупиковых выработок (ВМП и вентиляционный став)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подбор вентилятора местного проветривания по требуемому расходу у забоя и длине выработки;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утечек воздуха по ставу тремя методиками — паспортной, нормативной и по таблицам изготовителя (KolaVent);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нагнетательная, всасывающая и комбинированная схемы проветривания;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последовательная и параллельная установка ВМП, учёт става как элемента общей сети;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справочник вентиляционных труб: диаметры, материал, коэффициенты удельной стыковой воздухопроницаемости.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2.4. Аварийные режимы: пожар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мощности пожара по видам горючей нагрузки: самоходная техника, конвейерная лента, кабель, деревянная крепь, горюче-смазочные материалы, уголь;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определение температуры пожарных газов и их остывания по длине выработки с учётом теплоотдачи в массив;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тепловой депрессии и проверка устойчивости проветривания, определение критической депрессии опрокидывания вентиляционной струи;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распространение продуктов горения по сети: концентрации оксида и диоксида углерода, оптическая плотность дыма, дальность видимости;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формирование акта устойчивости вентиляционных режимов при пожаре и диаграммы Q–H с выгрузкой в Excel.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2.5. Аварийные режимы: взрыв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параметров взрыва газовоздушной смеси и взрывчатых веществ с приведением к тротиловому эквиваленту;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определение избыточного давления на фронте ударной волны, импульса и скорости распространения фронта;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построение зон поражения с градацией по степени тяжести;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проверка разрушения вентиляционных перемычек по предельному давлению.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2.6. Противопожарное водоснабжение (ППЗ)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гидравлический расчёт трубопроводной сети с определением напора и расхода в каждой точке водоразбора;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подбор насосного оборудования по Q–H характеристике;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учёт редукционных клапанов и местных сопротивлений;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пакетная проверка сети с автоматическим поиском наиболее неблагоприятных точек;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проверка обеспеченности расчётного расхода на пожаротушение.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2.7. Горноспасательные работы и вывод людей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прокладка маршрутов отделений ВГСЧ с учётом задымления выработок и скорости передвижения;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расчёт расхода кислорода дыхательного аппарата и контроль допустимого времени работы в непригодной для дыхания атмосфере;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режимы разведки, транспортировки пострадавшего и ликвидации аварии;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определение зоны задымления и списка людей, попадающих в неё;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проверка достаточности времени защитного действия самоспасателя (справочник моделей) и обоснование мест размещения пунктов переключения.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2.8. План ликвидации аварий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нанесение позиций ПЛА с привязкой к выработкам, выносками и условными обозначениями;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нормальные и реверсивные позиции, сценарии и режимы проветривания;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прикрепление к позиции файлов мероприятий;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справочники датчиков и типовых мероприятий ПЛА;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паспортные данные ОПО — класс и виды опасности, параметры объекта.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2.9. Схема, визуализация и документация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построение схемы вручную либо импорт из внешних систем: DXF/DWG (NanoCAD, AutoCAD), таблицы Excel и CSV, обменные форматы программ «АэроСеть» (.erp), «Вентиляция 2.0» (.cdf3) и Ventsim (.vsm, .csv); комбинированный импорт «чертёж + таблица»;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выбор слоёв чертежа при импорте и настройка точности слияния узлов — из маркшейдерского плана берутся только выработки, без крепления, геологии и сетки;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многоуровневые схемы с горизонтами, подложками планов горных работ и трёхмерным представлением сети;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библиотека условных обозначений горной графической документации;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режимы цветовой раскраски схемы: по расходу, скорости, форме сечения, участкам и горизонтам;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сравнение двух версий проекта — наглядно видно, какие ветви добавлены, изменены или удалены;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вывод на печать с рамками и штампом, форматы листов от А4 до А0, многолистовая раскладка;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экспорт графики в SVG, PDF (в том числе векторный), PNG, JPG, BMP, TIFF; выгрузка расчётных таблиц в Excel;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встроенная проверка схемы: поиск разрывов, изолированных участков, дублей и некорректных данных до запуска расчёта.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2.10. Справочники и настройки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каталог шахтных вентиляторов с напорными характеристиками и углами установки лопаток;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типы выработок, перемычки, нормы расхода воздуха;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насосы, потребители воды и трубы для расчёта ППЗ;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вентиляционные трубы, самоходная техника, самоспасатели, датчики, типовые мероприятия ПЛА;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настройка единиц измерения: расход, давление, сопротивление, длина.</w:t>
      </w:r>
    </w:p>
    <w:p>
      <w:pPr>
        <w:keepNext/>
        <w:spacing w:before="240" w:after="100"/>
        <w:jc w:val="left"/>
        <w:pBdr>
          <w:bottom w:val="single" w:sz="6" w:color="1F4E79" w:space="2"/>
        </w:pBdr>
      </w:pPr>
      <w:r>
        <w:rPr>
          <w:rFonts w:ascii="Times New Roman" w:hAnsi="Times New Roman"/>
          <w:b/>
          <w:color w:val="1F4E79"/>
          <w:sz w:val="26"/>
        </w:rPr>
        <w:t>3. Преимущества для предприятия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551"/>
            <w:shd w:val="clear" w:fill="1F4E7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Критерий</w:t>
            </w:r>
          </w:p>
        </w:tc>
        <w:tc>
          <w:tcPr>
            <w:tcW w:type="dxa" w:w="7257"/>
            <w:shd w:val="clear" w:fill="1F4E7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Что даёт предприятию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Соответствие ФНиП</w:t>
            </w:r>
          </w:p>
        </w:tc>
        <w:tc>
          <w:tcPr>
            <w:tcW w:type="dxa" w:w="7257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Расчёты выполняются по действующим приказам Ростехнадзора; отчёты содержат применённые нормы и пригодны для экспертизы</w:t>
            </w:r>
          </w:p>
        </w:tc>
      </w:tr>
      <w:tr>
        <w:tc>
          <w:tcPr>
            <w:tcW w:type="dxa" w:w="2551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Единая модель сети</w:t>
            </w:r>
          </w:p>
        </w:tc>
        <w:tc>
          <w:tcPr>
            <w:tcW w:type="dxa" w:w="7257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Схема строится один раз и используется всеми модулями — исключены расхождения между разделами проекта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Прозрачность расчёта</w:t>
            </w:r>
          </w:p>
        </w:tc>
        <w:tc>
          <w:tcPr>
            <w:tcW w:type="dxa" w:w="7257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Показывается определяющий фактор и формула, по которой получен результат, — расчёт можно проверить вручную</w:t>
            </w:r>
          </w:p>
        </w:tc>
      </w:tr>
      <w:tr>
        <w:tc>
          <w:tcPr>
            <w:tcW w:type="dxa" w:w="2551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Гибкость норм</w:t>
            </w:r>
          </w:p>
        </w:tc>
        <w:tc>
          <w:tcPr>
            <w:tcW w:type="dxa" w:w="7257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Справочники норм редактируются: применяются значения, согласованные для конкретного предприятия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Работа без интернета</w:t>
            </w:r>
          </w:p>
        </w:tc>
        <w:tc>
          <w:tcPr>
            <w:tcW w:type="dxa" w:w="7257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Настольная версия с локальным расчётным ядром работает в изолированном контуре предприятия</w:t>
            </w:r>
          </w:p>
        </w:tc>
      </w:tr>
      <w:tr>
        <w:tc>
          <w:tcPr>
            <w:tcW w:type="dxa" w:w="2551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Импорт готовых схем</w:t>
            </w:r>
          </w:p>
        </w:tc>
        <w:tc>
          <w:tcPr>
            <w:tcW w:type="dxa" w:w="7257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Схемы из «АэроСети», Ventsim, «Вентиляции 2.0» и маркшейдерских чертежей DXF/DWG переносятся без повторного ввода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Отечественная разработка</w:t>
            </w:r>
          </w:p>
        </w:tc>
        <w:tc>
          <w:tcPr>
            <w:tcW w:type="dxa" w:w="7257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Импортонезависимое решение, поддержка и развитие на русском языке</w:t>
            </w:r>
          </w:p>
        </w:tc>
      </w:tr>
    </w:tbl>
    <w:p>
      <w:pPr>
        <w:keepNext/>
        <w:spacing w:before="240" w:after="100"/>
        <w:jc w:val="left"/>
        <w:pBdr>
          <w:bottom w:val="single" w:sz="6" w:color="1F4E79" w:space="2"/>
        </w:pBdr>
      </w:pPr>
      <w:r>
        <w:rPr>
          <w:rFonts w:ascii="Times New Roman" w:hAnsi="Times New Roman"/>
          <w:b/>
          <w:color w:val="1F4E79"/>
          <w:sz w:val="26"/>
        </w:rPr>
        <w:t>4. Условия поставки и сопровождения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2"/>
        </w:rPr>
        <w:t>В стоимость годовой лицензии включено: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установка и настройка программного обеспечения на рабочих местах заказчика (удалённо);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техническая поддержка в режиме 24/7;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регулярные обновления программного обеспечения в течение срока лицензии;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консультации специалистов по вопросам эксплуатации и интерпретации результатов расчётов.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>Обучение персонала работе с комплексом (очно или дистанционно) — дополнительная услуга, с выдачей удостоверения и внесением в реестр ФИС ФРДО (Госуслуги).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3288"/>
            <w:shd w:val="clear" w:fill="1F4E7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6520"/>
            <w:shd w:val="clear" w:fill="1F4E7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Значение</w:t>
            </w:r>
          </w:p>
        </w:tc>
      </w:tr>
      <w:tr>
        <w:tc>
          <w:tcPr>
            <w:tcW w:type="dxa" w:w="328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Тип лицензии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Корпоративная, для использования на территории предприятия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Срок действия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1 год с момента подписания договора</w:t>
            </w:r>
          </w:p>
        </w:tc>
      </w:tr>
      <w:tr>
        <w:tc>
          <w:tcPr>
            <w:tcW w:type="dxa" w:w="328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Количество рабочих мест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Согласно разделу 5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Платформа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Настольная версия для Windows 10/11 (64-бит) и веб-версия</w:t>
            </w:r>
          </w:p>
        </w:tc>
      </w:tr>
      <w:tr>
        <w:tc>
          <w:tcPr>
            <w:tcW w:type="dxa" w:w="328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Режим работы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Настольная версия работает автономно, без доступа в интернет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Интеграция с системами предприятия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Опционально, по отдельному соглашению</w:t>
            </w:r>
          </w:p>
        </w:tc>
      </w:tr>
    </w:tbl>
    <w:p>
      <w:pPr>
        <w:keepNext/>
        <w:spacing w:before="240" w:after="100"/>
        <w:jc w:val="left"/>
        <w:pBdr>
          <w:bottom w:val="single" w:sz="6" w:color="1F4E79" w:space="2"/>
        </w:pBdr>
      </w:pPr>
      <w:r>
        <w:rPr>
          <w:rFonts w:ascii="Times New Roman" w:hAnsi="Times New Roman"/>
          <w:b/>
          <w:color w:val="1F4E79"/>
          <w:sz w:val="26"/>
        </w:rPr>
        <w:t>5. Стоимость лицензии на 1 год</w:t>
      </w:r>
    </w:p>
    <w:p>
      <w:pPr>
        <w:spacing w:before="0" w:after="100"/>
        <w:jc w:val="both"/>
      </w:pPr>
      <w:r>
        <w:rPr>
          <w:rFonts w:ascii="Times New Roman" w:hAnsi="Times New Roman"/>
          <w:b w:val="0"/>
          <w:i w:val="0"/>
          <w:sz w:val="22"/>
        </w:rPr>
        <w:t>Стоимость рассчитывается от протяжённости вентиляционной сети рудника и коэффициента сложности сети.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c>
          <w:tcPr>
            <w:tcW w:type="dxa" w:w="2608"/>
            <w:shd w:val="clear" w:fill="1F4E7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Месторождение</w:t>
            </w:r>
          </w:p>
        </w:tc>
        <w:tc>
          <w:tcPr>
            <w:tcW w:type="dxa" w:w="1304"/>
            <w:shd w:val="clear"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Протяжён-</w:t>
              <w:br/>
              <w:t>ность, м</w:t>
            </w:r>
          </w:p>
        </w:tc>
        <w:tc>
          <w:tcPr>
            <w:tcW w:type="dxa" w:w="907"/>
            <w:shd w:val="clear"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Срок</w:t>
            </w:r>
          </w:p>
        </w:tc>
        <w:tc>
          <w:tcPr>
            <w:tcW w:type="dxa" w:w="964"/>
            <w:shd w:val="clear"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 сложн.</w:t>
            </w:r>
          </w:p>
        </w:tc>
        <w:tc>
          <w:tcPr>
            <w:tcW w:type="dxa" w:w="2098"/>
            <w:shd w:val="clear"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Базовая цена</w:t>
              <w:br/>
              <w:t>за 1 место, руб.</w:t>
            </w:r>
          </w:p>
        </w:tc>
        <w:tc>
          <w:tcPr>
            <w:tcW w:type="dxa" w:w="1928"/>
            <w:shd w:val="clear"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Итоговая</w:t>
              <w:br/>
              <w:t>стоимость, руб.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ЗРК Майское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85 000,0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1 090 000,00</w:t>
            </w:r>
          </w:p>
        </w:tc>
      </w:tr>
      <w:tr>
        <w:tc>
          <w:tcPr>
            <w:tcW w:type="dxa" w:w="260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Серебро Магадана Дукат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97 000,0</w:t>
            </w:r>
          </w:p>
        </w:tc>
        <w:tc>
          <w:tcPr>
            <w:tcW w:type="dxa" w:w="907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1 210 000,00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Серебро Магадана Лунное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20 000,0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440 000,00</w:t>
            </w:r>
          </w:p>
        </w:tc>
      </w:tr>
      <w:tr>
        <w:tc>
          <w:tcPr>
            <w:tcW w:type="dxa" w:w="260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ОЗРК Бургали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22 000,0</w:t>
            </w:r>
          </w:p>
        </w:tc>
        <w:tc>
          <w:tcPr>
            <w:tcW w:type="dxa" w:w="907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460 000,00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ОЗРК Невенрекан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15 000,0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390 000,00</w:t>
            </w:r>
          </w:p>
        </w:tc>
      </w:tr>
      <w:tr>
        <w:tc>
          <w:tcPr>
            <w:tcW w:type="dxa" w:w="260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Ресурсы Албазино Ольга /</w:t>
              <w:br/>
              <w:t>Ресурсы Албазино Анфиса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46 000,0 /</w:t>
              <w:br/>
              <w:t>8 000,0</w:t>
            </w:r>
          </w:p>
        </w:tc>
        <w:tc>
          <w:tcPr>
            <w:tcW w:type="dxa" w:w="907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780 000,00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Ресурсы Албазино Екатерина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210 000,0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2 340 000,00</w:t>
            </w:r>
          </w:p>
        </w:tc>
      </w:tr>
      <w:tr>
        <w:tc>
          <w:tcPr>
            <w:tcW w:type="dxa" w:w="260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Ведуга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18 000,0</w:t>
            </w:r>
          </w:p>
        </w:tc>
        <w:tc>
          <w:tcPr>
            <w:tcW w:type="dxa" w:w="907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420 000,00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Новопетровское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15 000,0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390 000,00</w:t>
            </w:r>
          </w:p>
        </w:tc>
      </w:tr>
      <w:tr>
        <w:tc>
          <w:tcPr>
            <w:tcW w:type="dxa" w:w="260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Пещерное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5 000,0</w:t>
            </w:r>
          </w:p>
        </w:tc>
        <w:tc>
          <w:tcPr>
            <w:tcW w:type="dxa" w:w="907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 год</w:t>
            </w:r>
          </w:p>
        </w:tc>
        <w:tc>
          <w:tcPr>
            <w:tcW w:type="dxa" w:w="96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1,0</w:t>
            </w:r>
          </w:p>
        </w:tc>
        <w:tc>
          <w:tcPr>
            <w:tcW w:type="dxa" w:w="209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240 000,00</w:t>
            </w:r>
          </w:p>
        </w:tc>
        <w:tc>
          <w:tcPr>
            <w:tcW w:type="dxa" w:w="1928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9"/>
              </w:rPr>
              <w:t>290 000,00</w:t>
            </w:r>
          </w:p>
        </w:tc>
      </w:tr>
      <w:tr>
        <w:tc>
          <w:tcPr>
            <w:tcW w:type="dxa" w:w="2608"/>
            <w:shd w:val="clear" w:fill="EAF1F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ИТОГО</w:t>
            </w:r>
          </w:p>
        </w:tc>
        <w:tc>
          <w:tcPr>
            <w:tcW w:type="dxa" w:w="1304"/>
            <w:shd w:val="clear" w:fill="EAF1F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541 000,0</w:t>
            </w:r>
          </w:p>
        </w:tc>
        <w:tc>
          <w:tcPr>
            <w:tcW w:type="dxa" w:w="907"/>
            <w:shd w:val="clear" w:fill="EAF1F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 год</w:t>
            </w:r>
          </w:p>
        </w:tc>
        <w:tc>
          <w:tcPr>
            <w:tcW w:type="dxa" w:w="964"/>
            <w:shd w:val="clear" w:fill="EAF1F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1,0</w:t>
            </w:r>
          </w:p>
        </w:tc>
        <w:tc>
          <w:tcPr>
            <w:tcW w:type="dxa" w:w="2098"/>
            <w:shd w:val="clear" w:fill="EAF1F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2 400 000,00</w:t>
            </w:r>
          </w:p>
        </w:tc>
        <w:tc>
          <w:tcPr>
            <w:tcW w:type="dxa" w:w="1928"/>
            <w:shd w:val="clear" w:fill="EAF1F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7 810 000,00</w:t>
            </w:r>
          </w:p>
        </w:tc>
      </w:tr>
    </w:tbl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5.1. Лицензирование через проектный офис</w:t>
      </w:r>
    </w:p>
    <w:p>
      <w:pPr>
        <w:spacing w:before="0" w:after="100"/>
        <w:jc w:val="both"/>
      </w:pPr>
      <w:r>
        <w:rPr>
          <w:rFonts w:ascii="Times New Roman" w:hAnsi="Times New Roman"/>
          <w:b w:val="0"/>
          <w:i w:val="0"/>
          <w:sz w:val="22"/>
        </w:rPr>
        <w:t>Лицензирование для Управляющей компании «Полиметалл УК» на 10 рабочих мест сроком на 1 год — 2 400 000,00 руб. с последующей передачей лицензий предприятиям по необходимости и количеству рабочих мест.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4422"/>
            <w:shd w:val="clear" w:fill="1F4E7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Наименование</w:t>
            </w:r>
          </w:p>
        </w:tc>
        <w:tc>
          <w:tcPr>
            <w:tcW w:type="dxa" w:w="1304"/>
            <w:shd w:val="clear"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1701"/>
            <w:shd w:val="clear"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Рабочих мест</w:t>
            </w:r>
          </w:p>
        </w:tc>
        <w:tc>
          <w:tcPr>
            <w:tcW w:type="dxa" w:w="2381"/>
            <w:shd w:val="clear"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Стоимость, руб.</w:t>
            </w:r>
          </w:p>
        </w:tc>
      </w:tr>
      <w:tr>
        <w:tc>
          <w:tcPr>
            <w:tcW w:type="dxa" w:w="442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Полиметалл УК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2 400 000,00</w:t>
            </w:r>
          </w:p>
        </w:tc>
      </w:tr>
      <w:tr>
        <w:tc>
          <w:tcPr>
            <w:tcW w:type="dxa" w:w="4422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ЗРК Майское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Серебро Магадана Дукат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Серебро Магадана Лунное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ОЗРК Бургали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ОЗРК Невенрекан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Ресурсы Албазино Ольга / Анфиса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Ресурсы Албазино Екатерина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Ведуга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Новопетровское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  <w:shd w:val="clear" w:fill="F4F8F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Пещерное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0"/>
              </w:rPr>
              <w:t>240 000,00</w:t>
            </w:r>
          </w:p>
        </w:tc>
      </w:tr>
      <w:tr>
        <w:tc>
          <w:tcPr>
            <w:tcW w:type="dxa" w:w="4422"/>
            <w:shd w:val="clear" w:fill="EAF1F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ИТОГО</w:t>
            </w:r>
          </w:p>
        </w:tc>
        <w:tc>
          <w:tcPr>
            <w:tcW w:type="dxa" w:w="1304"/>
            <w:shd w:val="clear" w:fill="EAF1F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 год</w:t>
            </w:r>
          </w:p>
        </w:tc>
        <w:tc>
          <w:tcPr>
            <w:tcW w:type="dxa" w:w="1701"/>
            <w:shd w:val="clear" w:fill="EAF1F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</w:t>
            </w:r>
          </w:p>
        </w:tc>
        <w:tc>
          <w:tcPr>
            <w:tcW w:type="dxa" w:w="2381"/>
            <w:shd w:val="clear" w:fill="EAF1F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4 800 000,00</w:t>
            </w:r>
          </w:p>
        </w:tc>
      </w:tr>
    </w:tbl>
    <w:p>
      <w:pPr>
        <w:spacing w:before="80" w:after="60"/>
        <w:jc w:val="both"/>
      </w:pPr>
      <w:r>
        <w:rPr>
          <w:rFonts w:ascii="Times New Roman" w:hAnsi="Times New Roman"/>
          <w:b w:val="0"/>
          <w:i/>
          <w:color w:val="444444"/>
          <w:sz w:val="20"/>
        </w:rPr>
        <w:t>Стоимость указана без НДС на основании подпункта 26 пункта 2 статьи 149 Налогового кодекса Российской Федерации (передача прав на использование программ для ЭВМ).</w:t>
      </w:r>
    </w:p>
    <w:p>
      <w:pPr>
        <w:keepNext/>
        <w:spacing w:before="140" w:after="40"/>
      </w:pPr>
      <w:r>
        <w:rPr>
          <w:rFonts w:ascii="Times New Roman" w:hAnsi="Times New Roman"/>
          <w:b/>
          <w:color w:val="1F4E79"/>
          <w:sz w:val="23"/>
        </w:rPr>
        <w:t>Порядок расчётов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оплата производится единовременно в течение 5 рабочих дней с момента подписания договора на основании выставленного лицензиаром счёта;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лицензиар передаёт лицензиату ключ активации и эксплуатационную документацию в течение 3 рабочих дней после поступления оплаты;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передача оформляется актом приёма-передачи.</w:t>
      </w:r>
    </w:p>
    <w:p>
      <w:pPr>
        <w:keepNext/>
        <w:spacing w:before="240" w:after="100"/>
        <w:jc w:val="left"/>
        <w:pBdr>
          <w:bottom w:val="single" w:sz="6" w:color="1F4E79" w:space="2"/>
        </w:pBdr>
      </w:pPr>
      <w:r>
        <w:rPr>
          <w:rFonts w:ascii="Times New Roman" w:hAnsi="Times New Roman"/>
          <w:b/>
          <w:color w:val="1F4E79"/>
          <w:sz w:val="26"/>
        </w:rPr>
        <w:t>6. Лицензирование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2"/>
        </w:rPr>
        <w:t>Лицензионный ключ предусматривает следующие виды активации: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268"/>
            <w:shd w:val="clear" w:fill="1F4E7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Вид активации</w:t>
            </w:r>
          </w:p>
        </w:tc>
        <w:tc>
          <w:tcPr>
            <w:tcW w:type="dxa" w:w="7540"/>
            <w:shd w:val="clear" w:fill="1F4E7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Порядок проверки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Браузерная версия</w:t>
            </w:r>
          </w:p>
        </w:tc>
        <w:tc>
          <w:tcPr>
            <w:tcW w:type="dxa" w:w="754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Проверка активации при каждом открытии программы на сервере «ПВ-Система». Рекомендуется использовать комплекс в одном браузере на одном ПК — во избежание задвоения ключа на сервере</w:t>
            </w:r>
          </w:p>
        </w:tc>
      </w:tr>
      <w:tr>
        <w:tc>
          <w:tcPr>
            <w:tcW w:type="dxa" w:w="226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Настольная версия</w:t>
            </w:r>
          </w:p>
        </w:tc>
        <w:tc>
          <w:tcPr>
            <w:tcW w:type="dxa" w:w="7540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Проверка активации ключа выполняется ежемесячно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Аварийный ключ</w:t>
            </w:r>
          </w:p>
        </w:tc>
        <w:tc>
          <w:tcPr>
            <w:tcW w:type="dxa" w:w="754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Действует на всё время действия договора (1 год) без проверки на сервере</w:t>
            </w:r>
          </w:p>
        </w:tc>
      </w:tr>
    </w:tbl>
    <w:p>
      <w:pPr>
        <w:keepNext/>
        <w:spacing w:before="240" w:after="100"/>
        <w:jc w:val="left"/>
        <w:pBdr>
          <w:bottom w:val="single" w:sz="6" w:color="1F4E79" w:space="2"/>
        </w:pBdr>
      </w:pPr>
      <w:r>
        <w:rPr>
          <w:rFonts w:ascii="Times New Roman" w:hAnsi="Times New Roman"/>
          <w:b/>
          <w:color w:val="1F4E79"/>
          <w:sz w:val="26"/>
        </w:rPr>
        <w:t>7. Сертификация «ПВ-Системы»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2"/>
        </w:rPr>
        <w:t>Получено: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государственная регистрация программы для ЭВМ — Федеральная служба по интеллектуальной собственности, свидетельство № 2026681414 от 14.07.2026 (документ опубликован на официальном сайте пвсистема.рф);</w:t>
      </w:r>
    </w:p>
    <w:p>
      <w:pPr>
        <w:spacing w:after="30"/>
        <w:ind w:left="397" w:hanging="227"/>
        <w:jc w:val="both"/>
      </w:pPr>
      <w:r>
        <w:rPr>
          <w:rFonts w:ascii="Times New Roman" w:hAnsi="Times New Roman"/>
          <w:sz w:val="22"/>
        </w:rPr>
        <w:t>— сертификат соответствия ГОСТ нормативных документов № 0079923 от 09.07.2026 с заключением (документ опубликован на официальном сайте пвсистема.рф).</w:t>
      </w:r>
    </w:p>
    <w:p>
      <w:pPr>
        <w:keepNext/>
        <w:spacing w:before="240" w:after="100"/>
        <w:jc w:val="left"/>
        <w:pBdr>
          <w:bottom w:val="single" w:sz="6" w:color="1F4E79" w:space="2"/>
        </w:pBdr>
      </w:pPr>
      <w:r>
        <w:rPr>
          <w:rFonts w:ascii="Times New Roman" w:hAnsi="Times New Roman"/>
          <w:b/>
          <w:color w:val="1F4E79"/>
          <w:sz w:val="26"/>
        </w:rPr>
        <w:t>8. Как начать работу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>Готовы провести презентацию «ПВ-Системы», выполнить тестовый расчёт на реальной схеме одного из рудников компании и ответить на вопросы технических специалистов.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311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Телефон</w:t>
            </w:r>
          </w:p>
        </w:tc>
        <w:tc>
          <w:tcPr>
            <w:tcW w:type="dxa" w:w="6690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+7 (905) 005-36-19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Техническая поддержка</w:t>
            </w:r>
          </w:p>
        </w:tc>
        <w:tc>
          <w:tcPr>
            <w:tcW w:type="dxa" w:w="669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+7 (933) 044-70-17</w:t>
            </w:r>
          </w:p>
        </w:tc>
      </w:tr>
      <w:tr>
        <w:tc>
          <w:tcPr>
            <w:tcW w:type="dxa" w:w="3118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Электронная почта</w:t>
            </w:r>
          </w:p>
        </w:tc>
        <w:tc>
          <w:tcPr>
            <w:tcW w:type="dxa" w:w="6690"/>
            <w:shd w:val="clear" w:fill="F4F8FC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pvsistema@mail.ru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Сайт</w:t>
            </w:r>
          </w:p>
        </w:tc>
        <w:tc>
          <w:tcPr>
            <w:tcW w:type="dxa" w:w="6690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пвсистема.рф</w:t>
            </w:r>
          </w:p>
        </w:tc>
      </w:tr>
    </w:tbl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3855"/>
      </w:tblGrid>
      <w:tr>
        <w:tc>
          <w:tcPr>
            <w:tcW w:type="dxa" w:w="5953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 уважением,</w:t>
            </w:r>
          </w:p>
          <w:p>
            <w:pPr>
              <w:spacing w:before="160"/>
            </w:pPr>
            <w:r>
              <w:rPr>
                <w:rFonts w:ascii="Times New Roman" w:hAnsi="Times New Roman"/>
                <w:b/>
                <w:sz w:val="22"/>
              </w:rPr>
              <w:t>Директор АНО ДПО</w:t>
              <w:br/>
              <w:t>«Учебный центр ГорГазНефть»</w:t>
            </w:r>
          </w:p>
        </w:tc>
        <w:tc>
          <w:tcPr>
            <w:tcW w:type="dxa" w:w="3855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71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7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И. Н. Басантаев</w:t>
            </w:r>
          </w:p>
        </w:tc>
      </w:tr>
    </w:tbl>
    <w:sectPr w:rsidR="00FC693F" w:rsidRPr="0006063C" w:rsidSect="00034616">
      <w:pgSz w:w="11906" w:h="16838"/>
      <w:pgMar w:top="794" w:right="850" w:bottom="79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