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b/>
          <w:i w:val="0"/>
          <w:color w:val="555555"/>
          <w:sz w:val="20"/>
        </w:rPr>
        <w:t>ОБЩЕСТВО С ОГРАНИЧЕННОЙ ОТВЕТСТВЕННОСТЬЮ</w:t>
      </w:r>
    </w:p>
    <w:p>
      <w:pPr>
        <w:spacing w:after="0" w:before="0"/>
        <w:jc w:val="center"/>
      </w:pPr>
      <w:r>
        <w:rPr>
          <w:b/>
          <w:i w:val="0"/>
          <w:color w:val="5A3A12"/>
          <w:sz w:val="34"/>
        </w:rPr>
        <w:t>«ЯКУТСКОЕ ЗОЛОТО»</w:t>
      </w:r>
    </w:p>
    <w:p>
      <w:pPr>
        <w:spacing w:after="80" w:before="0"/>
        <w:jc w:val="center"/>
      </w:pPr>
      <w:r>
        <w:rPr>
          <w:b/>
          <w:i w:val="0"/>
          <w:color w:val="C99A2E"/>
          <w:sz w:val="24"/>
        </w:rPr>
        <w:t>ООО «Якутское золото»</w:t>
      </w:r>
    </w:p>
    <w:p>
      <w:pPr>
        <w:spacing w:after="0" w:before="0"/>
        <w:jc w:val="center"/>
        <w:pBdr>
          <w:bottom w:val="single" w:sz="18" w:space="4" w:color="5A3A12"/>
        </w:pBdr>
      </w:pPr>
      <w:r>
        <w:rPr>
          <w:b w:val="0"/>
          <w:i w:val="0"/>
          <w:color w:val="555555"/>
          <w:sz w:val="19"/>
        </w:rPr>
        <w:t>______________, Республика Саха (Якутия), ______________________________   ·   тел.: ______________   ·   e-mail: ______________</w:t>
      </w:r>
    </w:p>
    <w:p>
      <w:pPr>
        <w:spacing w:after="0" w:before="0"/>
        <w:pBdr>
          <w:top w:val="single" w:sz="6" w:space="4" w:color="C99A2E"/>
        </w:pBdr>
      </w:pP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19"/>
        <w:gridCol w:w="4819"/>
      </w:tblGrid>
      <w:tr>
        <w:tc>
          <w:tcPr>
            <w:tcW w:type="dxa" w:w="4706"/>
          </w:tcPr>
          <w:p>
            <w:r>
              <w:rPr>
                <w:b w:val="0"/>
                <w:i w:val="0"/>
                <w:color w:val="555555"/>
                <w:sz w:val="22"/>
              </w:rPr>
              <w:t xml:space="preserve">Исх. № </w:t>
            </w:r>
            <w:r>
              <w:rPr>
                <w:b w:val="0"/>
                <w:i w:val="0"/>
                <w:sz w:val="22"/>
              </w:rPr>
              <w:t>____________</w:t>
            </w:r>
          </w:p>
          <w:p>
            <w:pPr>
              <w:spacing w:before="80"/>
            </w:pPr>
            <w:r>
              <w:rPr>
                <w:b w:val="0"/>
                <w:i w:val="0"/>
                <w:sz w:val="22"/>
              </w:rPr>
              <w:t>от «___» ______________ 2026 г.</w:t>
            </w:r>
          </w:p>
          <w:p>
            <w:pPr>
              <w:spacing w:before="80"/>
            </w:pPr>
            <w:r>
              <w:rPr>
                <w:b w:val="0"/>
                <w:i w:val="0"/>
                <w:color w:val="555555"/>
                <w:sz w:val="22"/>
              </w:rPr>
              <w:t xml:space="preserve">На № </w:t>
            </w:r>
            <w:r>
              <w:rPr>
                <w:b w:val="0"/>
                <w:i w:val="0"/>
                <w:sz w:val="22"/>
              </w:rPr>
              <w:t>____________ от ______________</w:t>
            </w:r>
          </w:p>
          <w:p>
            <w:pPr>
              <w:spacing w:before="280"/>
            </w:pPr>
            <w:r>
              <w:rPr>
                <w:b/>
                <w:i/>
                <w:color w:val="5A3A12"/>
                <w:sz w:val="23"/>
              </w:rPr>
              <w:t>Отзыв о применении программного комплекса «ПВ-Система» для расчётов по п. 26 Инструкции № 520</w:t>
            </w:r>
          </w:p>
        </w:tc>
        <w:tc>
          <w:tcPr>
            <w:tcW w:type="dxa" w:w="4932"/>
          </w:tcPr>
          <w:p>
            <w:pPr>
              <w:ind w:left="680"/>
            </w:pPr>
            <w:r>
              <w:rPr>
                <w:b w:val="0"/>
                <w:i w:val="0"/>
                <w:sz w:val="26"/>
              </w:rPr>
              <w:t>Генеральному директору</w:t>
            </w:r>
          </w:p>
          <w:p>
            <w:pPr>
              <w:ind w:left="680"/>
            </w:pPr>
            <w:r>
              <w:rPr>
                <w:b w:val="0"/>
                <w:i w:val="0"/>
                <w:sz w:val="26"/>
              </w:rPr>
              <w:t>ФГУП «Военизированная горноспасательная</w:t>
            </w:r>
          </w:p>
          <w:p>
            <w:pPr>
              <w:ind w:left="680"/>
            </w:pPr>
            <w:r>
              <w:rPr>
                <w:b w:val="0"/>
                <w:i w:val="0"/>
                <w:sz w:val="26"/>
              </w:rPr>
              <w:t>часть» МЧС России</w:t>
            </w:r>
          </w:p>
          <w:p>
            <w:pPr>
              <w:ind w:left="680"/>
            </w:pPr>
            <w:r>
              <w:rPr>
                <w:b w:val="0"/>
                <w:i w:val="0"/>
                <w:sz w:val="26"/>
              </w:rPr>
              <w:t>(ФГУП «ВГСЧ»)</w:t>
            </w:r>
          </w:p>
          <w:p>
            <w:pPr>
              <w:spacing w:before="120"/>
              <w:ind w:left="680"/>
            </w:pPr>
            <w:r>
              <w:rPr>
                <w:b w:val="0"/>
                <w:i w:val="0"/>
                <w:sz w:val="26"/>
              </w:rPr>
              <w:t>____________________________</w:t>
            </w:r>
          </w:p>
        </w:tc>
      </w:tr>
    </w:tbl>
    <w:p>
      <w:pPr>
        <w:spacing w:after="0" w:before="0"/>
      </w:pPr>
    </w:p>
    <w:p>
      <w:pPr>
        <w:spacing w:after="200" w:before="120"/>
        <w:jc w:val="center"/>
      </w:pPr>
      <w:r>
        <w:rPr>
          <w:b/>
          <w:i w:val="0"/>
          <w:sz w:val="26"/>
        </w:rPr>
        <w:t>Уважаемый ____________________________!</w:t>
      </w:r>
    </w:p>
    <w:p>
      <w:pPr>
        <w:spacing w:after="120" w:before="0" w:line="276" w:lineRule="auto"/>
        <w:ind w:firstLine="709"/>
        <w:jc w:val="both"/>
      </w:pPr>
      <w:r>
        <w:rPr>
          <w:b w:val="0"/>
          <w:i w:val="0"/>
          <w:sz w:val="26"/>
        </w:rPr>
        <w:t xml:space="preserve">ООО «Якутское золото» направляет отзыв о результатах опытной эксплуатации </w:t>
      </w:r>
      <w:r>
        <w:rPr>
          <w:b w:val="0"/>
          <w:i w:val="0"/>
          <w:sz w:val="26"/>
        </w:rPr>
        <w:t>программного комплекса «ПВ-Система» (версия 2.144.410; свидетельство о государственной регистрации программы для ЭВМ № 2026681414 от 14.07.2026; правообладатель — АНО ДПО «Учебный центр ГорГазНефть»)</w:t>
      </w:r>
      <w:r>
        <w:rPr>
          <w:b w:val="0"/>
          <w:i w:val="0"/>
          <w:sz w:val="26"/>
        </w:rPr>
        <w:t xml:space="preserve"> на горных предприятиях Общества.</w:t>
      </w:r>
    </w:p>
    <w:p>
      <w:pPr>
        <w:spacing w:after="120" w:before="0" w:line="276" w:lineRule="auto"/>
        <w:ind w:firstLine="709"/>
        <w:jc w:val="both"/>
      </w:pPr>
      <w:r>
        <w:rPr>
          <w:b w:val="0"/>
          <w:i w:val="0"/>
          <w:sz w:val="26"/>
        </w:rPr>
        <w:t>Опытная эксплуатация проводилась с «___» ____________ 2026 г. по «___» ____________ 2026 г. инженерно-техническими работниками участка вентиляции и техники безопасности. Для оценки использовались фактические вентиляционные схемы подземных горных выработок с учётом особенностей их эксплуатации в зоне многолетней мерзлоты и низких температур наружного воздуха в зимний период.</w:t>
      </w:r>
    </w:p>
    <w:p>
      <w:pPr>
        <w:spacing w:after="120" w:before="0" w:line="276" w:lineRule="auto"/>
        <w:ind w:firstLine="709"/>
        <w:jc w:val="both"/>
      </w:pPr>
      <w:r>
        <w:rPr>
          <w:b w:val="0"/>
          <w:i w:val="0"/>
          <w:sz w:val="26"/>
        </w:rPr>
        <w:t xml:space="preserve">В ходе эксплуатации подтверждено, что комплекс позволяет выполнять инженерные расчёты, которые в соответствии с </w:t>
      </w:r>
      <w:r>
        <w:rPr>
          <w:b w:val="0"/>
          <w:i w:val="0"/>
          <w:sz w:val="26"/>
        </w:rPr>
        <w:t>пунктом 26</w:t>
      </w:r>
      <w:r>
        <w:rPr>
          <w:b w:val="0"/>
          <w:i w:val="0"/>
          <w:sz w:val="26"/>
        </w:rPr>
        <w:t xml:space="preserve"> </w:t>
      </w:r>
      <w:r>
        <w:rPr>
          <w:b w:val="0"/>
          <w:i w:val="0"/>
          <w:sz w:val="26"/>
        </w:rPr>
        <w:t>Федеральных норм и правил в области промышленной безопасности «Инструкция по локализации и ликвидации последствий аварий на опасных производственных объектах, на которых ведутся горные работы» (утв. приказом Ростехнадзора от 11.12.2020 № 520)</w:t>
      </w:r>
      <w:r>
        <w:rPr>
          <w:b w:val="0"/>
          <w:i w:val="0"/>
          <w:sz w:val="26"/>
        </w:rPr>
        <w:t xml:space="preserve"> выполняются при разработке и корректировке оперативного плана. Опробованы следующие расчёты:</w:t>
      </w:r>
    </w:p>
    <w:p>
      <w:pPr>
        <w:spacing w:after="80" w:before="0" w:line="264" w:lineRule="auto"/>
        <w:ind w:left="709" w:hanging="340"/>
        <w:jc w:val="both"/>
      </w:pPr>
      <w:r>
        <w:rPr>
          <w:b/>
          <w:i w:val="0"/>
          <w:color w:val="5A3A12"/>
          <w:sz w:val="26"/>
        </w:rPr>
        <w:t xml:space="preserve">1. </w:t>
      </w:r>
      <w:r>
        <w:rPr>
          <w:b/>
          <w:i w:val="0"/>
          <w:sz w:val="26"/>
        </w:rPr>
        <w:t>Оценка взрывоопасности рудничной атмосферы</w:t>
      </w:r>
      <w:r>
        <w:rPr>
          <w:b w:val="0"/>
          <w:i w:val="0"/>
          <w:sz w:val="26"/>
        </w:rPr>
        <w:t xml:space="preserve"> — по составу пожарных газов в соответствии с Приложением № 11 (формулы (1)–(5), треугольники взрываемости рис. 1–6) с оформлением расчётного листа.</w:t>
      </w:r>
    </w:p>
    <w:p>
      <w:pPr>
        <w:spacing w:after="80" w:before="0" w:line="264" w:lineRule="auto"/>
        <w:ind w:left="709" w:hanging="340"/>
        <w:jc w:val="both"/>
      </w:pPr>
      <w:r>
        <w:rPr>
          <w:b/>
          <w:i w:val="0"/>
          <w:color w:val="5A3A12"/>
          <w:sz w:val="26"/>
        </w:rPr>
        <w:t xml:space="preserve">2. </w:t>
      </w:r>
      <w:r>
        <w:rPr>
          <w:b/>
          <w:i w:val="0"/>
          <w:sz w:val="26"/>
        </w:rPr>
        <w:t>Тепловая депрессия пожара и устойчивость проветривания</w:t>
      </w:r>
      <w:r>
        <w:rPr>
          <w:b w:val="0"/>
          <w:i w:val="0"/>
          <w:sz w:val="26"/>
        </w:rPr>
        <w:t xml:space="preserve"> — с учётом естественной тяги при большой разности температур поверхности и выработок, определением критической депрессии и формированием акта устойчивости.</w:t>
      </w:r>
    </w:p>
    <w:p>
      <w:pPr>
        <w:spacing w:after="80" w:before="0" w:line="264" w:lineRule="auto"/>
        <w:ind w:left="709" w:hanging="340"/>
        <w:jc w:val="both"/>
      </w:pPr>
      <w:r>
        <w:rPr>
          <w:b/>
          <w:i w:val="0"/>
          <w:color w:val="5A3A12"/>
          <w:sz w:val="26"/>
        </w:rPr>
        <w:t xml:space="preserve">3. </w:t>
      </w:r>
      <w:r>
        <w:rPr>
          <w:b/>
          <w:i w:val="0"/>
          <w:sz w:val="26"/>
        </w:rPr>
        <w:t>Зоны задымления</w:t>
      </w:r>
      <w:r>
        <w:rPr>
          <w:b w:val="0"/>
          <w:i w:val="0"/>
          <w:sz w:val="26"/>
        </w:rPr>
        <w:t xml:space="preserve"> — с расчётом концентраций оксида и диоксида углерода, дальности видимости и перечня рабочих мест, попадающих в зону задымления.</w:t>
      </w:r>
    </w:p>
    <w:p>
      <w:pPr>
        <w:spacing w:after="80" w:before="0" w:line="264" w:lineRule="auto"/>
        <w:ind w:left="709" w:hanging="340"/>
        <w:jc w:val="both"/>
      </w:pPr>
      <w:r>
        <w:rPr>
          <w:b/>
          <w:i w:val="0"/>
          <w:color w:val="5A3A12"/>
          <w:sz w:val="26"/>
        </w:rPr>
        <w:t xml:space="preserve">4. </w:t>
      </w:r>
      <w:r>
        <w:rPr>
          <w:b/>
          <w:i w:val="0"/>
          <w:sz w:val="26"/>
        </w:rPr>
        <w:t>Последствия взрыва</w:t>
      </w:r>
      <w:r>
        <w:rPr>
          <w:b w:val="0"/>
          <w:i w:val="0"/>
          <w:sz w:val="26"/>
        </w:rPr>
        <w:t xml:space="preserve"> — с определением давления на фронте ударной волны, зон поражения и устойчивости вентиляционных перемычек.</w:t>
      </w:r>
    </w:p>
    <w:p>
      <w:pPr>
        <w:spacing w:after="80" w:before="0" w:line="264" w:lineRule="auto"/>
        <w:ind w:left="709" w:hanging="340"/>
        <w:jc w:val="both"/>
      </w:pPr>
      <w:r>
        <w:rPr>
          <w:b/>
          <w:i w:val="0"/>
          <w:color w:val="5A3A12"/>
          <w:sz w:val="26"/>
        </w:rPr>
        <w:t xml:space="preserve">5. </w:t>
      </w:r>
      <w:r>
        <w:rPr>
          <w:b/>
          <w:i w:val="0"/>
          <w:sz w:val="26"/>
        </w:rPr>
        <w:t>Маршруты горноспасательных отделений и вывод людей</w:t>
      </w:r>
      <w:r>
        <w:rPr>
          <w:b w:val="0"/>
          <w:i w:val="0"/>
          <w:sz w:val="26"/>
        </w:rPr>
        <w:t xml:space="preserve"> — с учётом скорости передвижения в задымлённых выработках, времени защитного действия дыхательных аппаратов и самоспасателей.</w:t>
      </w:r>
    </w:p>
    <w:p>
      <w:pPr>
        <w:spacing w:after="0" w:before="0"/>
      </w:pPr>
    </w:p>
    <w:p>
      <w:pPr>
        <w:spacing w:after="120" w:before="0" w:line="276" w:lineRule="auto"/>
        <w:ind w:firstLine="709"/>
        <w:jc w:val="both"/>
      </w:pPr>
      <w:r>
        <w:rPr>
          <w:b w:val="0"/>
          <w:i w:val="0"/>
          <w:sz w:val="26"/>
        </w:rPr>
        <w:t>Результаты расчётов, выполненных в комплексе, совпали с контрольным ручным счётом по тем же исходным данным. Отмечены наглядность представления результатов и возможность проследить ход расчёта по каждой формуле, а также работа настольной версии без подключения к сети Интернет, что существенно для удалённых объектов Общества.</w:t>
      </w:r>
    </w:p>
    <w:p>
      <w:pPr>
        <w:spacing w:after="360" w:before="0" w:line="276" w:lineRule="auto"/>
        <w:ind w:firstLine="709"/>
        <w:jc w:val="both"/>
      </w:pPr>
      <w:r>
        <w:rPr>
          <w:b w:val="0"/>
          <w:i w:val="0"/>
          <w:sz w:val="26"/>
        </w:rPr>
        <w:t>ООО «Якутское золото» поддерживает применение программного комплекса «ПВ-Система» подразделениями ФГУП «ВГСЧ», обслуживающими предприятия Общества, и готово предоставить для совместной работы вентиляционные схемы объектов в формате комплекса.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13"/>
        <w:gridCol w:w="3213"/>
        <w:gridCol w:w="3213"/>
      </w:tblGrid>
      <w:tr>
        <w:tc>
          <w:tcPr>
            <w:tcW w:type="dxa" w:w="4252"/>
            <w:vAlign w:val="bottom"/>
          </w:tcPr>
          <w:p>
            <w:r>
              <w:rPr>
                <w:b w:val="0"/>
                <w:i w:val="0"/>
                <w:sz w:val="26"/>
              </w:rPr>
              <w:t>____________________________</w:t>
            </w:r>
          </w:p>
          <w:p>
            <w:r>
              <w:rPr>
                <w:b w:val="0"/>
                <w:i/>
                <w:color w:val="555555"/>
                <w:sz w:val="18"/>
              </w:rPr>
              <w:t>(должность)</w:t>
            </w:r>
          </w:p>
        </w:tc>
        <w:tc>
          <w:tcPr>
            <w:tcW w:type="dxa" w:w="2551"/>
            <w:vAlign w:val="bottom"/>
          </w:tcPr>
          <w:p>
            <w:pPr>
              <w:jc w:val="center"/>
            </w:pPr>
            <w:r>
              <w:rPr>
                <w:b w:val="0"/>
                <w:i w:val="0"/>
                <w:sz w:val="26"/>
              </w:rPr>
              <w:t>_____________</w:t>
            </w:r>
          </w:p>
          <w:p>
            <w:pPr>
              <w:jc w:val="center"/>
            </w:pPr>
            <w:r>
              <w:rPr>
                <w:b w:val="0"/>
                <w:i/>
                <w:color w:val="555555"/>
                <w:sz w:val="18"/>
              </w:rPr>
              <w:t>(подпись)</w:t>
            </w:r>
          </w:p>
        </w:tc>
        <w:tc>
          <w:tcPr>
            <w:tcW w:type="dxa" w:w="2835"/>
            <w:vAlign w:val="bottom"/>
          </w:tcPr>
          <w:p>
            <w:pPr>
              <w:jc w:val="right"/>
            </w:pPr>
            <w:r>
              <w:rPr>
                <w:b w:val="0"/>
                <w:i w:val="0"/>
                <w:sz w:val="26"/>
              </w:rPr>
              <w:t>___________________</w:t>
            </w:r>
          </w:p>
          <w:p>
            <w:pPr>
              <w:jc w:val="right"/>
            </w:pPr>
            <w:r>
              <w:rPr>
                <w:b w:val="0"/>
                <w:i/>
                <w:color w:val="555555"/>
                <w:sz w:val="18"/>
              </w:rPr>
              <w:t>(И. О. Фамилия)</w:t>
            </w:r>
          </w:p>
        </w:tc>
      </w:tr>
    </w:tbl>
    <w:p>
      <w:pPr>
        <w:spacing w:after="0" w:before="120"/>
      </w:pPr>
      <w:r>
        <w:rPr>
          <w:b w:val="0"/>
          <w:i w:val="0"/>
          <w:color w:val="555555"/>
          <w:sz w:val="22"/>
        </w:rPr>
        <w:t>М. П.</w:t>
      </w:r>
    </w:p>
    <w:sectPr w:rsidR="00FC693F" w:rsidRPr="0006063C" w:rsidSect="00034616">
      <w:footerReference w:type="default" r:id="rId9"/>
      <w:pgSz w:w="11906" w:h="16838"/>
      <w:pgMar w:top="850" w:right="850" w:bottom="102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4" w:color="C99A2E"/>
      </w:pBdr>
    </w:pPr>
    <w:r>
      <w:rPr>
        <w:b w:val="0"/>
        <w:i w:val="0"/>
        <w:color w:val="555555"/>
        <w:sz w:val="18"/>
      </w:rPr>
      <w:t>Исп.: ______________________   тел.: ______________________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Отзыв ООО «Якутское золото» в ФГУП «ВГСЧ» о «ПВ-Система»</dc:title>
  <dc:subject/>
  <dc:creator>ООО «Якутское золото»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