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b/>
          <w:i w:val="0"/>
          <w:color w:val="555555"/>
          <w:sz w:val="20"/>
        </w:rPr>
        <w:t>АКЦИОНЕРНОЕ ОБЩЕСТВО</w:t>
      </w:r>
    </w:p>
    <w:p>
      <w:pPr>
        <w:spacing w:after="0" w:before="0"/>
        <w:jc w:val="center"/>
      </w:pPr>
      <w:r>
        <w:rPr>
          <w:b/>
          <w:i w:val="0"/>
          <w:color w:val="0F4C3A"/>
          <w:sz w:val="36"/>
        </w:rPr>
        <w:t>«ПОЛИМЕТАЛЛ»</w:t>
      </w:r>
    </w:p>
    <w:p>
      <w:pPr>
        <w:spacing w:after="80" w:before="0"/>
        <w:jc w:val="center"/>
      </w:pPr>
      <w:r>
        <w:rPr>
          <w:b/>
          <w:i w:val="0"/>
          <w:color w:val="8A939B"/>
          <w:sz w:val="24"/>
        </w:rPr>
        <w:t>АО «Полиметалл»</w:t>
      </w:r>
    </w:p>
    <w:p>
      <w:pPr>
        <w:spacing w:after="0" w:before="0"/>
        <w:jc w:val="center"/>
        <w:pBdr>
          <w:bottom w:val="single" w:sz="18" w:space="4" w:color="0F4C3A"/>
        </w:pBdr>
      </w:pPr>
      <w:r>
        <w:rPr>
          <w:b w:val="0"/>
          <w:i w:val="0"/>
          <w:color w:val="555555"/>
          <w:sz w:val="19"/>
        </w:rPr>
        <w:t>______________________________________________________   ·   тел.: ______________   ·   e-mail: ______________</w:t>
      </w:r>
    </w:p>
    <w:p>
      <w:pPr>
        <w:spacing w:after="0" w:before="0"/>
        <w:pBdr>
          <w:top w:val="single" w:sz="6" w:space="4" w:color="8A939B"/>
        </w:pBdr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19"/>
        <w:gridCol w:w="4819"/>
      </w:tblGrid>
      <w:tr>
        <w:tc>
          <w:tcPr>
            <w:tcW w:type="dxa" w:w="4706"/>
          </w:tcPr>
          <w:p>
            <w:r>
              <w:rPr>
                <w:b w:val="0"/>
                <w:i w:val="0"/>
                <w:color w:val="555555"/>
                <w:sz w:val="22"/>
              </w:rPr>
              <w:t xml:space="preserve">Исх. № </w:t>
            </w:r>
            <w:r>
              <w:rPr>
                <w:b w:val="0"/>
                <w:i w:val="0"/>
                <w:sz w:val="22"/>
              </w:rPr>
              <w:t>____________</w:t>
            </w:r>
          </w:p>
          <w:p>
            <w:pPr>
              <w:spacing w:before="80"/>
            </w:pPr>
            <w:r>
              <w:rPr>
                <w:b w:val="0"/>
                <w:i w:val="0"/>
                <w:sz w:val="22"/>
              </w:rPr>
              <w:t>от «___» ______________ 2026 г.</w:t>
            </w:r>
          </w:p>
          <w:p>
            <w:pPr>
              <w:spacing w:before="80"/>
            </w:pPr>
            <w:r>
              <w:rPr>
                <w:b w:val="0"/>
                <w:i w:val="0"/>
                <w:color w:val="555555"/>
                <w:sz w:val="22"/>
              </w:rPr>
              <w:t xml:space="preserve">На № </w:t>
            </w:r>
            <w:r>
              <w:rPr>
                <w:b w:val="0"/>
                <w:i w:val="0"/>
                <w:sz w:val="22"/>
              </w:rPr>
              <w:t>____________ от ______________</w:t>
            </w:r>
          </w:p>
          <w:p>
            <w:pPr>
              <w:spacing w:before="280"/>
            </w:pPr>
            <w:r>
              <w:rPr>
                <w:b/>
                <w:i/>
                <w:color w:val="0F4C3A"/>
                <w:sz w:val="23"/>
              </w:rPr>
              <w:t>Об апробации программного комплекса «ПВ-Система» на подземных рудниках АО «Полиметалл»</w:t>
            </w:r>
          </w:p>
        </w:tc>
        <w:tc>
          <w:tcPr>
            <w:tcW w:type="dxa" w:w="4932"/>
          </w:tcPr>
          <w:p>
            <w:pPr>
              <w:ind w:left="680"/>
            </w:pPr>
            <w:r>
              <w:rPr>
                <w:b w:val="0"/>
                <w:i w:val="0"/>
                <w:sz w:val="26"/>
              </w:rPr>
              <w:t>Генеральному директору</w:t>
            </w:r>
          </w:p>
          <w:p>
            <w:pPr>
              <w:ind w:left="680"/>
            </w:pPr>
            <w:r>
              <w:rPr>
                <w:b w:val="0"/>
                <w:i w:val="0"/>
                <w:sz w:val="26"/>
              </w:rPr>
              <w:t>ФГУП «Военизированная горноспасательная</w:t>
            </w:r>
          </w:p>
          <w:p>
            <w:pPr>
              <w:ind w:left="680"/>
            </w:pPr>
            <w:r>
              <w:rPr>
                <w:b w:val="0"/>
                <w:i w:val="0"/>
                <w:sz w:val="26"/>
              </w:rPr>
              <w:t>часть» МЧС России</w:t>
            </w:r>
          </w:p>
          <w:p>
            <w:pPr>
              <w:ind w:left="680"/>
            </w:pPr>
            <w:r>
              <w:rPr>
                <w:b w:val="0"/>
                <w:i w:val="0"/>
                <w:sz w:val="26"/>
              </w:rPr>
              <w:t>(ФГУП «ВГСЧ»)</w:t>
            </w:r>
          </w:p>
          <w:p>
            <w:pPr>
              <w:spacing w:before="120"/>
              <w:ind w:left="680"/>
            </w:pPr>
            <w:r>
              <w:rPr>
                <w:b w:val="0"/>
                <w:i w:val="0"/>
                <w:sz w:val="26"/>
              </w:rPr>
              <w:t>____________________________</w:t>
            </w:r>
          </w:p>
        </w:tc>
      </w:tr>
    </w:tbl>
    <w:p>
      <w:pPr>
        <w:spacing w:after="0" w:before="0"/>
      </w:pPr>
    </w:p>
    <w:p>
      <w:pPr>
        <w:spacing w:after="200" w:before="120"/>
        <w:jc w:val="center"/>
      </w:pPr>
      <w:r>
        <w:rPr>
          <w:b/>
          <w:i w:val="0"/>
          <w:sz w:val="26"/>
        </w:rPr>
        <w:t>Уважаемый ____________________________!</w:t>
      </w:r>
    </w:p>
    <w:p>
      <w:pPr>
        <w:spacing w:after="120" w:before="0" w:line="276" w:lineRule="auto"/>
        <w:ind w:firstLine="709"/>
        <w:jc w:val="both"/>
      </w:pPr>
      <w:r>
        <w:rPr>
          <w:b w:val="0"/>
          <w:i w:val="0"/>
          <w:sz w:val="26"/>
        </w:rPr>
        <w:t xml:space="preserve">В целях выбора единого программного обеспечения для инженерных расчётов при локализации и ликвидации последствий аварий АО «Полиметалл» в «___» ____________ 2026 г. провело апробацию </w:t>
      </w:r>
      <w:r>
        <w:rPr>
          <w:b w:val="0"/>
          <w:i w:val="0"/>
          <w:sz w:val="26"/>
        </w:rPr>
        <w:t>программного комплекса «ПВ-Система» (версия 2.144.410; свидетельство о государственной регистрации программы для ЭВМ № 2026681414 от 14.07.2026; правообладатель — АНО ДПО «Учебный центр ГорГазНефть»)</w:t>
      </w:r>
      <w:r>
        <w:rPr>
          <w:b w:val="0"/>
          <w:i w:val="0"/>
          <w:sz w:val="26"/>
        </w:rPr>
        <w:t xml:space="preserve"> на подземных рудниках Компании.</w:t>
      </w:r>
    </w:p>
    <w:p>
      <w:pPr>
        <w:spacing w:after="120" w:before="0" w:line="276" w:lineRule="auto"/>
        <w:ind w:firstLine="709"/>
        <w:jc w:val="both"/>
      </w:pPr>
      <w:r>
        <w:rPr>
          <w:b w:val="0"/>
          <w:i w:val="0"/>
          <w:sz w:val="26"/>
        </w:rPr>
        <w:t xml:space="preserve">Апробация проводилась рабочей группой в составе специалистов технической дирекции и служб вентиляции рудников. Оценивались полнота реализации расчётов, требуемых </w:t>
      </w:r>
      <w:r>
        <w:rPr>
          <w:b w:val="0"/>
          <w:i w:val="0"/>
          <w:sz w:val="26"/>
        </w:rPr>
        <w:t>пунктом 26</w:t>
      </w:r>
      <w:r>
        <w:rPr>
          <w:b w:val="0"/>
          <w:i w:val="0"/>
          <w:sz w:val="26"/>
        </w:rPr>
        <w:t xml:space="preserve"> </w:t>
      </w:r>
      <w:r>
        <w:rPr>
          <w:b w:val="0"/>
          <w:i w:val="0"/>
          <w:sz w:val="26"/>
        </w:rPr>
        <w:t>Федеральных норм и правил в области промышленной безопасности «Инструкция по локализации и ликвидации последствий аварий на опасных производственных объектах, на которых ведутся горные работы» (утв. приказом Ростехнадзора от 11.12.2020 № 520)</w:t>
      </w:r>
      <w:r>
        <w:rPr>
          <w:b w:val="0"/>
          <w:i w:val="0"/>
          <w:sz w:val="26"/>
        </w:rPr>
        <w:t>, корректность результатов и пригодность выходных документов для включения в оперативный план.</w:t>
      </w:r>
    </w:p>
    <w:p>
      <w:pPr>
        <w:spacing w:after="120" w:before="0" w:line="276" w:lineRule="auto"/>
        <w:ind w:firstLine="709"/>
        <w:jc w:val="both"/>
      </w:pPr>
      <w:r>
        <w:rPr>
          <w:b w:val="0"/>
          <w:i w:val="0"/>
          <w:sz w:val="26"/>
        </w:rPr>
        <w:t>Сводные результаты апробации приведены в таблице: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9AA7B8"/>
          <w:left w:val="single" w:sz="4" w:color="9AA7B8"/>
          <w:bottom w:val="single" w:sz="4" w:color="9AA7B8"/>
          <w:right w:val="single" w:sz="4" w:color="9AA7B8"/>
          <w:insideH w:val="single" w:sz="4" w:color="9AA7B8"/>
          <w:insideV w:val="single" w:sz="4" w:color="9AA7B8"/>
        </w:tblBorders>
      </w:tblPr>
      <w:tblGrid>
        <w:gridCol w:w="3213"/>
        <w:gridCol w:w="3213"/>
        <w:gridCol w:w="3213"/>
      </w:tblGrid>
      <w:tr>
        <w:tc>
          <w:tcPr>
            <w:tcW w:type="dxa" w:w="3061"/>
            <w:shd w:val="clear" w:color="auto" w:fill="0F4C3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1"/>
              </w:rPr>
              <w:t>Раздел расчётов</w:t>
            </w:r>
          </w:p>
        </w:tc>
        <w:tc>
          <w:tcPr>
            <w:tcW w:type="dxa" w:w="4876"/>
            <w:shd w:val="clear" w:color="auto" w:fill="0F4C3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1"/>
              </w:rPr>
              <w:t>Порядок проверки</w:t>
            </w:r>
          </w:p>
        </w:tc>
        <w:tc>
          <w:tcPr>
            <w:tcW w:type="dxa" w:w="1701"/>
            <w:shd w:val="clear" w:color="auto" w:fill="0F4C3A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1"/>
              </w:rPr>
              <w:t>Вывод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before="40" w:after="40"/>
            </w:pPr>
            <w:r>
              <w:rPr>
                <w:b/>
                <w:i w:val="0"/>
                <w:sz w:val="21"/>
              </w:rPr>
              <w:t>Взрывоопасность рудничной атмосферы (Прил. № 11)</w:t>
            </w:r>
          </w:p>
        </w:tc>
        <w:tc>
          <w:tcPr>
            <w:tcW w:type="dxa" w:w="4876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sz w:val="21"/>
              </w:rPr>
              <w:t>Контрольные составы проб газов; сверка положения точки с треугольниками взрываемости рис. 1–6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F4C3A"/>
                <w:sz w:val="21"/>
              </w:rPr>
              <w:t>Подтверждено</w:t>
            </w:r>
          </w:p>
        </w:tc>
      </w:tr>
      <w:tr>
        <w:tc>
          <w:tcPr>
            <w:tcW w:type="dxa" w:w="3061"/>
            <w:vAlign w:val="center"/>
            <w:shd w:val="clear" w:color="auto" w:fill="E9F2EE"/>
          </w:tcPr>
          <w:p>
            <w:pPr>
              <w:spacing w:before="40" w:after="40"/>
            </w:pPr>
            <w:r>
              <w:rPr>
                <w:b/>
                <w:i w:val="0"/>
                <w:sz w:val="21"/>
              </w:rPr>
              <w:t>Воздухораспределение в аварийном режиме</w:t>
            </w:r>
          </w:p>
        </w:tc>
        <w:tc>
          <w:tcPr>
            <w:tcW w:type="dxa" w:w="4876"/>
            <w:vAlign w:val="center"/>
            <w:shd w:val="clear" w:color="auto" w:fill="E9F2EE"/>
          </w:tcPr>
          <w:p>
            <w:pPr>
              <w:spacing w:before="40" w:after="40"/>
            </w:pPr>
            <w:r>
              <w:rPr>
                <w:b w:val="0"/>
                <w:i w:val="0"/>
                <w:sz w:val="21"/>
              </w:rPr>
              <w:t>Сравнение расходов с результатами последней депрессионной съёмки рудника</w:t>
            </w:r>
          </w:p>
        </w:tc>
        <w:tc>
          <w:tcPr>
            <w:tcW w:type="dxa" w:w="1701"/>
            <w:vAlign w:val="center"/>
            <w:shd w:val="clear" w:color="auto" w:fill="E9F2EE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F4C3A"/>
                <w:sz w:val="21"/>
              </w:rPr>
              <w:t>Подтверждено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before="40" w:after="40"/>
            </w:pPr>
            <w:r>
              <w:rPr>
                <w:b/>
                <w:i w:val="0"/>
                <w:sz w:val="21"/>
              </w:rPr>
              <w:t>Тепловая депрессия и устойчивость струи</w:t>
            </w:r>
          </w:p>
        </w:tc>
        <w:tc>
          <w:tcPr>
            <w:tcW w:type="dxa" w:w="4876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sz w:val="21"/>
              </w:rPr>
              <w:t>Расчёт критической депрессии для выработок с пожарной нагрузкой; акт устойчивости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F4C3A"/>
                <w:sz w:val="21"/>
              </w:rPr>
              <w:t>Подтверждено</w:t>
            </w:r>
          </w:p>
        </w:tc>
      </w:tr>
      <w:tr>
        <w:tc>
          <w:tcPr>
            <w:tcW w:type="dxa" w:w="3061"/>
            <w:vAlign w:val="center"/>
            <w:shd w:val="clear" w:color="auto" w:fill="E9F2EE"/>
          </w:tcPr>
          <w:p>
            <w:pPr>
              <w:spacing w:before="40" w:after="40"/>
            </w:pPr>
            <w:r>
              <w:rPr>
                <w:b/>
                <w:i w:val="0"/>
                <w:sz w:val="21"/>
              </w:rPr>
              <w:t>Задымление выработок</w:t>
            </w:r>
          </w:p>
        </w:tc>
        <w:tc>
          <w:tcPr>
            <w:tcW w:type="dxa" w:w="4876"/>
            <w:vAlign w:val="center"/>
            <w:shd w:val="clear" w:color="auto" w:fill="E9F2EE"/>
          </w:tcPr>
          <w:p>
            <w:pPr>
              <w:spacing w:before="40" w:after="40"/>
            </w:pPr>
            <w:r>
              <w:rPr>
                <w:b w:val="0"/>
                <w:i w:val="0"/>
                <w:sz w:val="21"/>
              </w:rPr>
              <w:t>Концентрации CO/CO₂, дальность видимости, границы зон задымления</w:t>
            </w:r>
          </w:p>
        </w:tc>
        <w:tc>
          <w:tcPr>
            <w:tcW w:type="dxa" w:w="1701"/>
            <w:vAlign w:val="center"/>
            <w:shd w:val="clear" w:color="auto" w:fill="E9F2EE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F4C3A"/>
                <w:sz w:val="21"/>
              </w:rPr>
              <w:t>Подтверждено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before="40" w:after="40"/>
            </w:pPr>
            <w:r>
              <w:rPr>
                <w:b/>
                <w:i w:val="0"/>
                <w:sz w:val="21"/>
              </w:rPr>
              <w:t>Взрыв и изолирующие перемычки</w:t>
            </w:r>
          </w:p>
        </w:tc>
        <w:tc>
          <w:tcPr>
            <w:tcW w:type="dxa" w:w="4876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sz w:val="21"/>
              </w:rPr>
              <w:t>Давление ударной волны, зоны поражения, толщина взрывоустойчивой перемычки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F4C3A"/>
                <w:sz w:val="21"/>
              </w:rPr>
              <w:t>Подтверждено</w:t>
            </w:r>
          </w:p>
        </w:tc>
      </w:tr>
      <w:tr>
        <w:tc>
          <w:tcPr>
            <w:tcW w:type="dxa" w:w="3061"/>
            <w:vAlign w:val="center"/>
            <w:shd w:val="clear" w:color="auto" w:fill="E9F2EE"/>
          </w:tcPr>
          <w:p>
            <w:pPr>
              <w:spacing w:before="40" w:after="40"/>
            </w:pPr>
            <w:r>
              <w:rPr>
                <w:b/>
                <w:i w:val="0"/>
                <w:sz w:val="21"/>
              </w:rPr>
              <w:t>Горноспасательные работы</w:t>
            </w:r>
          </w:p>
        </w:tc>
        <w:tc>
          <w:tcPr>
            <w:tcW w:type="dxa" w:w="4876"/>
            <w:vAlign w:val="center"/>
            <w:shd w:val="clear" w:color="auto" w:fill="E9F2EE"/>
          </w:tcPr>
          <w:p>
            <w:pPr>
              <w:spacing w:before="40" w:after="40"/>
            </w:pPr>
            <w:r>
              <w:rPr>
                <w:b w:val="0"/>
                <w:i w:val="0"/>
                <w:sz w:val="21"/>
              </w:rPr>
              <w:t>Маршруты отделений, время работы в дыхательных аппаратах, выход людей</w:t>
            </w:r>
          </w:p>
        </w:tc>
        <w:tc>
          <w:tcPr>
            <w:tcW w:type="dxa" w:w="1701"/>
            <w:vAlign w:val="center"/>
            <w:shd w:val="clear" w:color="auto" w:fill="E9F2EE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0F4C3A"/>
                <w:sz w:val="21"/>
              </w:rPr>
              <w:t>Подтверждено</w:t>
            </w:r>
          </w:p>
        </w:tc>
      </w:tr>
    </w:tbl>
    <w:p>
      <w:pPr>
        <w:spacing w:after="0" w:before="0"/>
      </w:pPr>
    </w:p>
    <w:p>
      <w:pPr>
        <w:spacing w:after="120" w:before="0" w:line="276" w:lineRule="auto"/>
        <w:ind w:firstLine="709"/>
        <w:jc w:val="both"/>
      </w:pPr>
      <w:r>
        <w:rPr>
          <w:b w:val="0"/>
          <w:i w:val="0"/>
          <w:sz w:val="26"/>
        </w:rPr>
        <w:t>По итогам апробации рабочая группа пришла к заключению, что программный комплекс «ПВ-Система» соответствует требованиям пункта 26 Инструкции № 520 в части выполнения инженерных расчётов, а формируемые им расчётные листы и акты содержат применённые формулы и нормативные ссылки и могут прикладываться к оперативному плану без дополнительной переработки.</w:t>
      </w:r>
    </w:p>
    <w:p>
      <w:pPr>
        <w:spacing w:after="360" w:before="0" w:line="276" w:lineRule="auto"/>
        <w:ind w:firstLine="709"/>
        <w:jc w:val="both"/>
      </w:pPr>
      <w:r>
        <w:rPr>
          <w:b w:val="0"/>
          <w:i w:val="0"/>
          <w:sz w:val="26"/>
        </w:rPr>
        <w:t>АО «Полиметалл» предлагает рассмотреть использование комплекса «ПВ-Система» подразделениями ФГУП «ВГСЧ», обслуживающими рудники Компании. Работа предприятия и горноспасательного подразделения в едином программном продукте исключит расхождение расчётных моделей и повторный ввод исходных данных при ликвидации аварии. Для проработки вопроса предлагаем провести совместное рабочее совещание в удобном для Вас формате.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13"/>
        <w:gridCol w:w="3213"/>
        <w:gridCol w:w="3213"/>
      </w:tblGrid>
      <w:tr>
        <w:tc>
          <w:tcPr>
            <w:tcW w:type="dxa" w:w="4252"/>
            <w:vAlign w:val="bottom"/>
          </w:tcPr>
          <w:p>
            <w:r>
              <w:rPr>
                <w:b w:val="0"/>
                <w:i w:val="0"/>
                <w:sz w:val="26"/>
              </w:rPr>
              <w:t>____________________________</w:t>
            </w:r>
          </w:p>
          <w:p>
            <w:r>
              <w:rPr>
                <w:b w:val="0"/>
                <w:i/>
                <w:color w:val="555555"/>
                <w:sz w:val="18"/>
              </w:rPr>
              <w:t>(должность)</w:t>
            </w:r>
          </w:p>
        </w:tc>
        <w:tc>
          <w:tcPr>
            <w:tcW w:type="dxa" w:w="2551"/>
            <w:vAlign w:val="bottom"/>
          </w:tcPr>
          <w:p>
            <w:pPr>
              <w:jc w:val="center"/>
            </w:pPr>
            <w:r>
              <w:rPr>
                <w:b w:val="0"/>
                <w:i w:val="0"/>
                <w:sz w:val="26"/>
              </w:rPr>
              <w:t>_____________</w:t>
            </w:r>
          </w:p>
          <w:p>
            <w:pPr>
              <w:jc w:val="center"/>
            </w:pPr>
            <w:r>
              <w:rPr>
                <w:b w:val="0"/>
                <w:i/>
                <w:color w:val="555555"/>
                <w:sz w:val="18"/>
              </w:rPr>
              <w:t>(подпись)</w:t>
            </w:r>
          </w:p>
        </w:tc>
        <w:tc>
          <w:tcPr>
            <w:tcW w:type="dxa" w:w="2835"/>
            <w:vAlign w:val="bottom"/>
          </w:tcPr>
          <w:p>
            <w:pPr>
              <w:jc w:val="right"/>
            </w:pPr>
            <w:r>
              <w:rPr>
                <w:b w:val="0"/>
                <w:i w:val="0"/>
                <w:sz w:val="26"/>
              </w:rPr>
              <w:t>___________________</w:t>
            </w:r>
          </w:p>
          <w:p>
            <w:pPr>
              <w:jc w:val="right"/>
            </w:pPr>
            <w:r>
              <w:rPr>
                <w:b w:val="0"/>
                <w:i/>
                <w:color w:val="555555"/>
                <w:sz w:val="18"/>
              </w:rPr>
              <w:t>(И. О. Фамилия)</w:t>
            </w:r>
          </w:p>
        </w:tc>
      </w:tr>
    </w:tbl>
    <w:p>
      <w:pPr>
        <w:spacing w:after="0" w:before="120"/>
      </w:pPr>
      <w:r>
        <w:rPr>
          <w:b w:val="0"/>
          <w:i w:val="0"/>
          <w:color w:val="555555"/>
          <w:sz w:val="22"/>
        </w:rPr>
        <w:t>М. П.</w:t>
      </w:r>
    </w:p>
    <w:sectPr w:rsidR="00FC693F" w:rsidRPr="0006063C" w:rsidSect="00034616">
      <w:footerReference w:type="default" r:id="rId9"/>
      <w:pgSz w:w="11906" w:h="16838"/>
      <w:pgMar w:top="850" w:right="850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8A939B"/>
      </w:pBdr>
    </w:pPr>
    <w:r>
      <w:rPr>
        <w:b w:val="0"/>
        <w:i w:val="0"/>
        <w:color w:val="555555"/>
        <w:sz w:val="18"/>
      </w:rPr>
      <w:t>Исп.: ______________________   тел.: ______________________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Письмо АО «Полиметалл» в ФГУП «ВГСЧ» об апробации «ПВ-Система»</dc:title>
  <dc:subject/>
  <dc:creator>АО «Полиметалл»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