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color w:val="555555"/>
          <w:sz w:val="20"/>
        </w:rPr>
        <w:t>АКЦИОНЕРНОЕ ОБЩЕСТВО</w:t>
      </w:r>
    </w:p>
    <w:p>
      <w:pPr>
        <w:spacing w:after="0" w:before="0"/>
        <w:jc w:val="center"/>
      </w:pPr>
      <w:r>
        <w:rPr>
          <w:b/>
          <w:i w:val="0"/>
          <w:color w:val="0B2E5C"/>
          <w:sz w:val="32"/>
        </w:rPr>
        <w:t>«УРАЛЬСКАЯ ГОРНО-МЕТАЛЛУРГИЧЕСКАЯ КОМПАНИЯ»</w:t>
      </w:r>
    </w:p>
    <w:p>
      <w:pPr>
        <w:spacing w:after="80" w:before="0"/>
        <w:jc w:val="center"/>
      </w:pPr>
      <w:r>
        <w:rPr>
          <w:b/>
          <w:i w:val="0"/>
          <w:color w:val="B87333"/>
          <w:sz w:val="24"/>
        </w:rPr>
        <w:t>АО «УГМК»</w:t>
      </w:r>
    </w:p>
    <w:p>
      <w:pPr>
        <w:spacing w:after="0" w:before="0"/>
        <w:jc w:val="center"/>
        <w:pBdr>
          <w:bottom w:val="single" w:sz="18" w:space="4" w:color="0B2E5C"/>
        </w:pBdr>
      </w:pPr>
      <w:r>
        <w:rPr>
          <w:b w:val="0"/>
          <w:i w:val="0"/>
          <w:color w:val="555555"/>
          <w:sz w:val="19"/>
        </w:rPr>
        <w:t>624091, Свердловская область, г. Верхняя Пышма, Успенский проспект, д. 1</w:t>
      </w:r>
    </w:p>
    <w:p>
      <w:pPr>
        <w:spacing w:after="0" w:before="0"/>
        <w:pBdr>
          <w:top w:val="single" w:sz="6" w:space="4" w:color="B87333"/>
        </w:pBdr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932"/>
      </w:tblGrid>
      <w:tr>
        <w:tc>
          <w:tcPr>
            <w:tcW w:type="dxa" w:w="4706"/>
          </w:tcPr>
          <w:p>
            <w:r/>
            <w:r>
              <w:rPr>
                <w:b w:val="0"/>
                <w:i w:val="0"/>
                <w:color w:val="555555"/>
                <w:sz w:val="22"/>
              </w:rPr>
              <w:t xml:space="preserve">Исх. № </w:t>
            </w:r>
            <w:r>
              <w:rPr>
                <w:b w:val="0"/>
                <w:i w:val="0"/>
                <w:sz w:val="22"/>
              </w:rPr>
              <w:t>____________</w:t>
            </w:r>
          </w:p>
          <w:p>
            <w:pPr>
              <w:spacing w:before="80"/>
            </w:pPr>
            <w:r>
              <w:rPr>
                <w:b w:val="0"/>
                <w:i w:val="0"/>
                <w:sz w:val="22"/>
              </w:rPr>
              <w:t>от «___» ______________ 2026 г.</w:t>
            </w:r>
          </w:p>
          <w:p>
            <w:pPr>
              <w:spacing w:before="80"/>
            </w:pPr>
            <w:r>
              <w:rPr>
                <w:b w:val="0"/>
                <w:i w:val="0"/>
                <w:color w:val="555555"/>
                <w:sz w:val="22"/>
              </w:rPr>
              <w:t xml:space="preserve">На № </w:t>
            </w:r>
            <w:r>
              <w:rPr>
                <w:b w:val="0"/>
                <w:i w:val="0"/>
                <w:sz w:val="22"/>
              </w:rPr>
              <w:t>____________ от ______________</w:t>
            </w:r>
          </w:p>
          <w:p>
            <w:pPr>
              <w:spacing w:before="280"/>
            </w:pPr>
            <w:r>
              <w:rPr>
                <w:b/>
                <w:i/>
                <w:color w:val="0B2E5C"/>
                <w:sz w:val="23"/>
              </w:rPr>
              <w:t>О результатах проверки программного комплекса «ПВ-Система»</w:t>
            </w:r>
          </w:p>
        </w:tc>
        <w:tc>
          <w:tcPr>
            <w:tcW w:type="dxa" w:w="4932"/>
          </w:tcPr>
          <w:p>
            <w:pPr>
              <w:ind w:left="680"/>
            </w:pPr>
            <w:r>
              <w:rPr>
                <w:b w:val="0"/>
                <w:i w:val="0"/>
                <w:sz w:val="26"/>
              </w:rPr>
              <w:t>Генеральному директору</w:t>
            </w:r>
          </w:p>
          <w:p>
            <w:pPr>
              <w:ind w:left="680"/>
            </w:pPr>
            <w:r>
              <w:rPr>
                <w:b w:val="0"/>
                <w:i w:val="0"/>
                <w:sz w:val="26"/>
              </w:rPr>
              <w:t>ФГУП «Военизированная горноспасательная</w:t>
            </w:r>
          </w:p>
          <w:p>
            <w:pPr>
              <w:ind w:left="680"/>
            </w:pPr>
            <w:r>
              <w:rPr>
                <w:b w:val="0"/>
                <w:i w:val="0"/>
                <w:sz w:val="26"/>
              </w:rPr>
              <w:t>часть» МЧС России</w:t>
            </w:r>
          </w:p>
          <w:p>
            <w:pPr>
              <w:ind w:left="680"/>
            </w:pPr>
            <w:r>
              <w:rPr>
                <w:b w:val="0"/>
                <w:i w:val="0"/>
                <w:sz w:val="26"/>
              </w:rPr>
              <w:t>(ФГУП «ВГСЧ»)</w:t>
            </w:r>
          </w:p>
          <w:p>
            <w:pPr>
              <w:spacing w:before="120"/>
              <w:ind w:left="680"/>
            </w:pPr>
            <w:r>
              <w:rPr>
                <w:b w:val="0"/>
                <w:i w:val="0"/>
                <w:sz w:val="26"/>
              </w:rPr>
              <w:t>____________________________</w:t>
            </w:r>
          </w:p>
        </w:tc>
      </w:tr>
    </w:tbl>
    <w:p>
      <w:pPr>
        <w:spacing w:after="0" w:before="0"/>
      </w:pPr>
    </w:p>
    <w:p>
      <w:pPr>
        <w:spacing w:after="200" w:before="120"/>
        <w:jc w:val="center"/>
      </w:pPr>
      <w:r>
        <w:rPr>
          <w:b/>
          <w:i w:val="0"/>
          <w:sz w:val="26"/>
        </w:rPr>
        <w:t>Уважаемый ____________________________!</w:t>
      </w:r>
    </w:p>
    <w:p>
      <w:pPr>
        <w:spacing w:after="120" w:before="0" w:line="276" w:lineRule="auto"/>
        <w:ind w:firstLine="709"/>
        <w:jc w:val="both"/>
      </w:pPr>
      <w:r>
        <w:rPr>
          <w:b w:val="0"/>
          <w:i w:val="0"/>
          <w:sz w:val="26"/>
        </w:rPr>
        <w:t xml:space="preserve">Акционерное общество «Уральская горно-металлургическая компания» информирует, что в период с «___» ____________ 2026 г. по «___» ____________ 2026 г. на подземных рудниках предприятий холдинга УГМК проведена проверка программного комплекса </w:t>
      </w:r>
      <w:r>
        <w:rPr>
          <w:b w:val="0"/>
          <w:i w:val="0"/>
          <w:sz w:val="26"/>
        </w:rPr>
        <w:t>«ПВ-Система»</w:t>
      </w:r>
      <w:r>
        <w:rPr>
          <w:b w:val="0"/>
          <w:i w:val="0"/>
          <w:sz w:val="26"/>
        </w:rPr>
        <w:t xml:space="preserve"> (версия 2.144.410; свидетельство о государственной регистрации программы для ЭВМ № 2026681414 от 14.07.2026; правообладатель — АНО ДПО «Учебный центр ГорГазНефть»).</w:t>
      </w:r>
    </w:p>
    <w:p>
      <w:pPr>
        <w:spacing w:after="120" w:before="0" w:line="276" w:lineRule="auto"/>
        <w:ind w:firstLine="709"/>
        <w:jc w:val="both"/>
      </w:pPr>
      <w:r>
        <w:rPr>
          <w:b w:val="0"/>
          <w:i w:val="0"/>
          <w:sz w:val="26"/>
        </w:rPr>
        <w:t>Проверка выполнялась специалистами служб вентиляции и техники безопасности предприятий на действующих вентиляционных схемах рудников. Результаты, полученные в программе, сопоставлялись с результатами ручного счёта по методикам нормативных документов и с данными депрессионных съёмок.</w:t>
      </w:r>
    </w:p>
    <w:p>
      <w:pPr>
        <w:spacing w:after="160" w:before="0" w:line="276" w:lineRule="auto"/>
        <w:ind w:firstLine="709"/>
        <w:jc w:val="both"/>
      </w:pPr>
      <w:r>
        <w:rPr>
          <w:b w:val="0"/>
          <w:i w:val="0"/>
          <w:sz w:val="26"/>
        </w:rPr>
        <w:t xml:space="preserve">По результатам проверки установлено, что программный комплекс «ПВ-Система» </w:t>
      </w:r>
      <w:r>
        <w:rPr>
          <w:b w:val="0"/>
          <w:i w:val="0"/>
          <w:sz w:val="26"/>
        </w:rPr>
        <w:t>обеспечивает выполнение инженерных расчётов, предусмотренных пунктом 26</w:t>
      </w:r>
      <w:r>
        <w:rPr>
          <w:b w:val="0"/>
          <w:i w:val="0"/>
          <w:sz w:val="26"/>
        </w:rPr>
        <w:t xml:space="preserve"> Федеральных норм и правил в области промышленной безопасности «Инструкция по локализации и ликвидации последствий аварий на опасных производственных объектах, на которых ведутся горные работы», утверждённых приказом Ростехнадзора от 11.12.2020 № 520, в том числе: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9AA7B8"/>
          <w:left w:val="single" w:sz="4" w:color="9AA7B8"/>
          <w:bottom w:val="single" w:sz="4" w:color="9AA7B8"/>
          <w:right w:val="single" w:sz="4" w:color="9AA7B8"/>
          <w:insideH w:val="single" w:sz="4" w:color="9AA7B8"/>
          <w:insideV w:val="single" w:sz="4" w:color="9AA7B8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510"/>
            <w:shd w:val="clear" w:color="auto" w:fill="0B2E5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</w:rPr>
              <w:t>№</w:t>
            </w:r>
          </w:p>
        </w:tc>
        <w:tc>
          <w:tcPr>
            <w:tcW w:type="dxa" w:w="2948"/>
            <w:shd w:val="clear" w:color="auto" w:fill="0B2E5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</w:rPr>
              <w:t>Вид расчёта</w:t>
            </w:r>
          </w:p>
        </w:tc>
        <w:tc>
          <w:tcPr>
            <w:tcW w:type="dxa" w:w="4592"/>
            <w:shd w:val="clear" w:color="auto" w:fill="0B2E5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</w:rPr>
              <w:t>Что проверено</w:t>
            </w:r>
          </w:p>
        </w:tc>
        <w:tc>
          <w:tcPr>
            <w:tcW w:type="dxa" w:w="1587"/>
            <w:shd w:val="clear" w:color="auto" w:fill="0B2E5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1"/>
              </w:rPr>
              <w:t>Результат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Взрывоопасность рудничной атмосферы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Приложение № 11: формулы (1)–(5), треугольники взрываемости рис. 1–6; расчётный лист с нанесённой точкой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6B2E"/>
                <w:sz w:val="21"/>
              </w:rPr>
              <w:t>Соответствует</w:t>
            </w:r>
          </w:p>
        </w:tc>
      </w:tr>
      <w:tr>
        <w:tc>
          <w:tcPr>
            <w:tcW w:type="dxa" w:w="510"/>
            <w:vAlign w:val="center"/>
            <w:shd w:val="clear" w:color="auto" w:fill="F3EDE4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948"/>
            <w:vAlign w:val="center"/>
            <w:shd w:val="clear" w:color="auto" w:fill="F3EDE4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Воздухораспределение и устойчивость проветривания при пожаре</w:t>
            </w:r>
          </w:p>
        </w:tc>
        <w:tc>
          <w:tcPr>
            <w:tcW w:type="dxa" w:w="4592"/>
            <w:vAlign w:val="center"/>
            <w:shd w:val="clear" w:color="auto" w:fill="F3EDE4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Тепловая депрессия пожара, критическая депрессия опрокидывания струи, акт устойчивости вентиляционных режимов</w:t>
            </w:r>
          </w:p>
        </w:tc>
        <w:tc>
          <w:tcPr>
            <w:tcW w:type="dxa" w:w="1587"/>
            <w:vAlign w:val="center"/>
            <w:shd w:val="clear" w:color="auto" w:fill="F3EDE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6B2E"/>
                <w:sz w:val="21"/>
              </w:rPr>
              <w:t>Соответствует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Распространение продуктов горения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Концентрации CO и CO₂, оптическая плотность дыма, дальность видимости, границы зон задымления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6B2E"/>
                <w:sz w:val="21"/>
              </w:rPr>
              <w:t>Соответствует</w:t>
            </w:r>
          </w:p>
        </w:tc>
      </w:tr>
      <w:tr>
        <w:tc>
          <w:tcPr>
            <w:tcW w:type="dxa" w:w="510"/>
            <w:vAlign w:val="center"/>
            <w:shd w:val="clear" w:color="auto" w:fill="F3EDE4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2948"/>
            <w:vAlign w:val="center"/>
            <w:shd w:val="clear" w:color="auto" w:fill="F3EDE4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Параметры взрыва и изолирующих перемычек</w:t>
            </w:r>
          </w:p>
        </w:tc>
        <w:tc>
          <w:tcPr>
            <w:tcW w:type="dxa" w:w="4592"/>
            <w:vAlign w:val="center"/>
            <w:shd w:val="clear" w:color="auto" w:fill="F3EDE4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Давление на фронте ударной волны, зоны поражения, проверка устойчивости перемычек, толщина взрывоустойчивой перемычки</w:t>
            </w:r>
          </w:p>
        </w:tc>
        <w:tc>
          <w:tcPr>
            <w:tcW w:type="dxa" w:w="1587"/>
            <w:vAlign w:val="center"/>
            <w:shd w:val="clear" w:color="auto" w:fill="F3EDE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6B2E"/>
                <w:sz w:val="21"/>
              </w:rPr>
              <w:t>Соответствует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Горноспасательные работы и вывод людей</w:t>
            </w:r>
          </w:p>
        </w:tc>
        <w:tc>
          <w:tcPr>
            <w:tcW w:type="dxa" w:w="4592"/>
            <w:vAlign w:val="center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Маршруты отделений ВГСЧ, время работы в дыхательных аппаратах, время выхода горнорабочих и обеспеченность самоспасателями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6B2E"/>
                <w:sz w:val="21"/>
              </w:rPr>
              <w:t>Соответствует</w:t>
            </w:r>
          </w:p>
        </w:tc>
      </w:tr>
      <w:tr>
        <w:tc>
          <w:tcPr>
            <w:tcW w:type="dxa" w:w="510"/>
            <w:vAlign w:val="center"/>
            <w:shd w:val="clear" w:color="auto" w:fill="F3EDE4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2948"/>
            <w:vAlign w:val="center"/>
            <w:shd w:val="clear" w:color="auto" w:fill="F3EDE4"/>
          </w:tcPr>
          <w:p>
            <w:pPr>
              <w:spacing w:before="40" w:after="40"/>
            </w:pPr>
            <w:r>
              <w:rPr>
                <w:b/>
                <w:i w:val="0"/>
                <w:sz w:val="21"/>
              </w:rPr>
              <w:t>Противопожарное водоснабжение</w:t>
            </w:r>
          </w:p>
        </w:tc>
        <w:tc>
          <w:tcPr>
            <w:tcW w:type="dxa" w:w="4592"/>
            <w:vAlign w:val="center"/>
            <w:shd w:val="clear" w:color="auto" w:fill="F3EDE4"/>
          </w:tcPr>
          <w:p>
            <w:pPr>
              <w:spacing w:before="40" w:after="40"/>
            </w:pPr>
            <w:r>
              <w:rPr>
                <w:b w:val="0"/>
                <w:i w:val="0"/>
                <w:sz w:val="21"/>
              </w:rPr>
              <w:t>Гидравлический расчёт трубопровода, напор и расход в точках водоразбора</w:t>
            </w:r>
          </w:p>
        </w:tc>
        <w:tc>
          <w:tcPr>
            <w:tcW w:type="dxa" w:w="1587"/>
            <w:vAlign w:val="center"/>
            <w:shd w:val="clear" w:color="auto" w:fill="F3EDE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1E6B2E"/>
                <w:sz w:val="21"/>
              </w:rPr>
              <w:t>Соответствует</w:t>
            </w:r>
          </w:p>
        </w:tc>
      </w:tr>
    </w:tbl>
    <w:p>
      <w:pPr>
        <w:spacing w:after="0" w:before="0"/>
      </w:pPr>
    </w:p>
    <w:p>
      <w:pPr>
        <w:spacing w:after="120" w:before="0" w:line="276" w:lineRule="auto"/>
        <w:ind w:firstLine="709"/>
        <w:jc w:val="both"/>
      </w:pPr>
      <w:r>
        <w:rPr>
          <w:b w:val="0"/>
          <w:i w:val="0"/>
          <w:sz w:val="26"/>
        </w:rPr>
        <w:t>Расчёты выполняются в единой модели вентиляционной сети рудника, результаты оформляются в виде расчётных листов и актов с указанием применённых формул и нормативных ссылок, что позволяет проверить их вручную и приложить к оперативному плану по локализации и ликвидации последствий аварии. Настольная версия комплекса работает автономно, без доступа к сети Интернет, что обеспечивает её применение на командном пункте и в изолированном контуре предприятия.</w:t>
      </w:r>
    </w:p>
    <w:p>
      <w:pPr>
        <w:spacing w:after="360" w:before="0" w:line="276" w:lineRule="auto"/>
        <w:ind w:firstLine="709"/>
        <w:jc w:val="both"/>
      </w:pPr>
      <w:r>
        <w:rPr>
          <w:b w:val="0"/>
          <w:i w:val="0"/>
          <w:sz w:val="26"/>
        </w:rPr>
        <w:t>С учётом изложенного АО «УГМК» считает целесообразным применение программного комплекса «ПВ-Система» подразделениями ФГУП «ВГСЧ», обслуживающими рудники холдинга, для выполнения инженерных расчётов по пункту 26 Инструкции № 520 при разработке оперативных планов. Использование единого программного продукта предприятием и горноспасательным подразделением обеспечит единство исходных данных и расчётных моделей и сократит время принятия решений при ликвидации аварий.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c>
          <w:tcPr>
            <w:tcW w:type="dxa" w:w="4252"/>
            <w:vAlign w:val="bottom"/>
          </w:tcPr>
          <w:p>
            <w:r>
              <w:rPr>
                <w:b w:val="0"/>
                <w:i w:val="0"/>
                <w:sz w:val="26"/>
              </w:rPr>
              <w:t>____________________________</w:t>
            </w:r>
          </w:p>
          <w:p>
            <w:r>
              <w:rPr>
                <w:b w:val="0"/>
                <w:i/>
                <w:color w:val="555555"/>
                <w:sz w:val="18"/>
              </w:rPr>
              <w:t>(должность)</w:t>
            </w:r>
          </w:p>
        </w:tc>
        <w:tc>
          <w:tcPr>
            <w:tcW w:type="dxa" w:w="2551"/>
            <w:vAlign w:val="bottom"/>
          </w:tcPr>
          <w:p>
            <w:pPr>
              <w:jc w:val="center"/>
            </w:pPr>
            <w:r>
              <w:rPr>
                <w:b w:val="0"/>
                <w:i w:val="0"/>
                <w:sz w:val="26"/>
              </w:rPr>
              <w:t>_____________</w:t>
            </w:r>
          </w:p>
          <w:p>
            <w:pPr>
              <w:jc w:val="center"/>
            </w:pPr>
            <w:r>
              <w:rPr>
                <w:b w:val="0"/>
                <w:i/>
                <w:color w:val="555555"/>
                <w:sz w:val="18"/>
              </w:rPr>
              <w:t>(подпись)</w:t>
            </w:r>
          </w:p>
        </w:tc>
        <w:tc>
          <w:tcPr>
            <w:tcW w:type="dxa" w:w="2835"/>
            <w:vAlign w:val="bottom"/>
          </w:tcPr>
          <w:p>
            <w:pPr>
              <w:jc w:val="right"/>
            </w:pPr>
            <w:r>
              <w:rPr>
                <w:b w:val="0"/>
                <w:i w:val="0"/>
                <w:sz w:val="26"/>
              </w:rPr>
              <w:t>___________________</w:t>
            </w:r>
          </w:p>
          <w:p>
            <w:pPr>
              <w:jc w:val="right"/>
            </w:pPr>
            <w:r>
              <w:rPr>
                <w:b w:val="0"/>
                <w:i/>
                <w:color w:val="555555"/>
                <w:sz w:val="18"/>
              </w:rPr>
              <w:t>(И. О. Фамилия)</w:t>
            </w:r>
          </w:p>
        </w:tc>
      </w:tr>
    </w:tbl>
    <w:p>
      <w:pPr>
        <w:spacing w:after="0" w:before="120"/>
      </w:pPr>
      <w:r>
        <w:rPr>
          <w:b w:val="0"/>
          <w:i w:val="0"/>
          <w:color w:val="555555"/>
          <w:sz w:val="22"/>
        </w:rPr>
        <w:t>М. П.</w:t>
      </w:r>
    </w:p>
    <w:sectPr w:rsidR="00FC693F" w:rsidRPr="0006063C" w:rsidSect="00034616">
      <w:footerReference w:type="default" r:id="rId9"/>
      <w:pgSz w:w="11906" w:h="16838"/>
      <w:pgMar w:top="850" w:right="850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B87333"/>
      </w:pBdr>
    </w:pPr>
    <w:r>
      <w:rPr>
        <w:b w:val="0"/>
        <w:i w:val="0"/>
        <w:color w:val="555555"/>
        <w:sz w:val="18"/>
      </w:rPr>
      <w:t>Исп.: ______________________   тел.: ______________________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Письмо АО «УГМК» в ФГУП «ВГСЧ» о проверке «ПВ-Система»</dc:title>
  <dc:subject/>
  <dc:creator>АО «УГМК»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