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04"/>
        <w:gridCol w:w="4904"/>
      </w:tblGrid>
      <w:tr>
        <w:tc>
          <w:tcPr>
            <w:tcW w:type="dxa" w:w="4422"/>
          </w:tcPr>
          <w:p/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Приложение № 1</w:t>
            </w:r>
          </w:p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к сублицензионному договору</w:t>
            </w:r>
          </w:p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№ ______ от «____» __________ 2026 г.</w:t>
            </w:r>
          </w:p>
        </w:tc>
      </w:tr>
    </w:tbl>
    <w:p>
      <w:pPr>
        <w:spacing w:before="0" w:after="120"/>
        <w:ind w:left="0" w:firstLine="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200"/>
        <w:ind w:firstLine="0"/>
        <w:jc w:val="center"/>
      </w:pPr>
      <w:r>
        <w:rPr>
          <w:rFonts w:ascii="Times New Roman" w:hAnsi="Times New Roman"/>
          <w:b/>
          <w:sz w:val="26"/>
        </w:rPr>
        <w:t>ТЕХНИЧЕСКИЕ ТРЕБОВАНИЯ К РАБОЧИМ МЕСТАМ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Настоящее Приложение определяет минимальные и рекомендуемые требования к аппаратному и программному обеспечению рабочих мест Лицензиата, при соблюдении которых Лицензиар гарантирует работоспособность программного комплекса «ПВ-Система».</w:t>
      </w:r>
    </w:p>
    <w:p>
      <w:pPr>
        <w:keepNext/>
        <w:spacing w:before="220" w:after="100"/>
        <w:ind w:firstLine="0"/>
        <w:jc w:val="center"/>
      </w:pPr>
      <w:r>
        <w:rPr>
          <w:rFonts w:ascii="Times New Roman" w:hAnsi="Times New Roman"/>
          <w:b/>
          <w:sz w:val="24"/>
        </w:rPr>
        <w:t>1. Настольная (десктопная) версия</w:t>
      </w:r>
    </w:p>
    <w:p>
      <w:pPr>
        <w:spacing w:before="0" w:after="10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1.1. Требования к рабочей станции: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0"/>
        <w:gridCol w:w="3270"/>
        <w:gridCol w:w="3270"/>
      </w:tblGrid>
      <w:tr>
        <w:tc>
          <w:tcPr>
            <w:tcW w:type="dxa" w:w="2438"/>
            <w:shd w:val="clear" w:fill="1F4E79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685"/>
            <w:shd w:val="clear" w:fill="1F4E79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Минимально</w:t>
            </w:r>
          </w:p>
        </w:tc>
        <w:tc>
          <w:tcPr>
            <w:tcW w:type="dxa" w:w="3685"/>
            <w:shd w:val="clear" w:fill="1F4E79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Рекомендуется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Операционная система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Windows 10 (64-бит), сборка 1809 и выше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Windows 11 (64-бит)</w:t>
            </w:r>
          </w:p>
        </w:tc>
      </w:tr>
      <w:tr>
        <w:tc>
          <w:tcPr>
            <w:tcW w:type="dxa" w:w="243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Процессор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4 ядра, 2,0 ГГц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8 ядер, 3,0 ГГц и выше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Оперативная память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8 ГБ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16 ГБ и более</w:t>
            </w:r>
          </w:p>
        </w:tc>
      </w:tr>
      <w:tr>
        <w:tc>
          <w:tcPr>
            <w:tcW w:type="dxa" w:w="243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Свободное место на диске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5 ГБ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20 ГБ (SSD)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Видеоподсистема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Встроенная, поддержка OpenGL 3.0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Дискретная, 2 ГБ видеопамяти</w:t>
            </w:r>
          </w:p>
        </w:tc>
      </w:tr>
      <w:tr>
        <w:tc>
          <w:tcPr>
            <w:tcW w:type="dxa" w:w="243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Монитор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1920 × 1080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2560 × 1440 и выше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Дополнительное ПО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Microsoft Edge WebView2 Runtime</w:t>
              <w:br/>
              <w:t>(предустановлен в Windows 11)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43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Права на установку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Права локального администратора</w:t>
              <w:br/>
              <w:t>на время установки</w:t>
            </w:r>
          </w:p>
        </w:tc>
        <w:tc>
          <w:tcPr>
            <w:tcW w:type="dxa" w:w="3685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0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1.2. Размер схемы рудника влияет на требования к памяти. Для сетей свыше 5 000 ветвей рекомендуется не менее 16 ГБ оперативной памяти.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1.3. Настольная версия содержит локальное расчётное ядро и выполняет все расчёты на рабочей станции Лицензиата. Постоянное подключение к сети «Интернет» не требуется.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1.4. Проверка лицензионного ключа настольной версии выполняется один раз в месяц. На время проверки требуется однократный доступ к серверу лицензирования Лицензиара (домены пвсистема.рф и functions.poehali.dev, протокол HTTPS, порт 443). В остальное время программа работает в изолированном контуре предприятия.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1.5. Для работы аварийного ключа подключение к сети «Интернет» не требуется в течение всего срока действия Договора.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1.6. Локальный расчётный сервер программы использует сетевой порт 54321 на интерфейсе 127.0.0.1 (localhost). Порт не публикуется во внешнюю сеть; в правилах межсетевого экрана должно быть разрешено локальное соединение.</w:t>
      </w:r>
    </w:p>
    <w:p>
      <w:pPr>
        <w:keepNext/>
        <w:spacing w:before="220" w:after="100"/>
        <w:ind w:firstLine="0"/>
        <w:jc w:val="center"/>
      </w:pPr>
      <w:r>
        <w:rPr>
          <w:rFonts w:ascii="Times New Roman" w:hAnsi="Times New Roman"/>
          <w:b/>
          <w:sz w:val="24"/>
        </w:rPr>
        <w:t>2. Браузерная (веб-) версия</w:t>
      </w:r>
    </w:p>
    <w:p>
      <w:pPr>
        <w:spacing w:before="0" w:after="10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2.1. Требования к рабочему месту: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438"/>
            <w:shd w:val="clear" w:fill="1F4E79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370"/>
            <w:shd w:val="clear" w:fill="1F4E79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Браузер</w:t>
            </w:r>
          </w:p>
        </w:tc>
        <w:tc>
          <w:tcPr>
            <w:tcW w:type="dxa" w:w="7370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Google Chrome, Microsoft Edge, Яндекс.Браузер — версия не ниже 110;</w:t>
              <w:br/>
              <w:t>Mozilla Firefox — версия не ниже 110</w:t>
            </w:r>
          </w:p>
        </w:tc>
      </w:tr>
      <w:tr>
        <w:tc>
          <w:tcPr>
            <w:tcW w:type="dxa" w:w="243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Оперативная память</w:t>
            </w:r>
          </w:p>
        </w:tc>
        <w:tc>
          <w:tcPr>
            <w:tcW w:type="dxa" w:w="737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8 ГБ и более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Монитор</w:t>
            </w:r>
          </w:p>
        </w:tc>
        <w:tc>
          <w:tcPr>
            <w:tcW w:type="dxa" w:w="7370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1920 × 1080 и выше</w:t>
            </w:r>
          </w:p>
        </w:tc>
      </w:tr>
      <w:tr>
        <w:tc>
          <w:tcPr>
            <w:tcW w:type="dxa" w:w="243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Канал связи</w:t>
            </w:r>
          </w:p>
        </w:tc>
        <w:tc>
          <w:tcPr>
            <w:tcW w:type="dxa" w:w="737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От 5 Мбит/с, стабильное подключение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Доступ по сети</w:t>
            </w:r>
          </w:p>
        </w:tc>
        <w:tc>
          <w:tcPr>
            <w:tcW w:type="dxa" w:w="7370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HTTPS (порт 443) к доменам пвсистема.рф и functions.poehali.dev</w:t>
            </w:r>
          </w:p>
        </w:tc>
      </w:tr>
      <w:tr>
        <w:tc>
          <w:tcPr>
            <w:tcW w:type="dxa" w:w="243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Настройки браузера</w:t>
            </w:r>
          </w:p>
        </w:tc>
        <w:tc>
          <w:tcPr>
            <w:tcW w:type="dxa" w:w="737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Разрешены JavaScript, файлы cookie и локальное хранилище</w:t>
              <w:br/>
              <w:t>(localStorage)</w:t>
            </w:r>
          </w:p>
        </w:tc>
      </w:tr>
    </w:tbl>
    <w:p>
      <w:pPr>
        <w:spacing w:before="10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2.2. Браузерная версия проходит проверку лицензии при каждом запуске программы. Рекомендуется использовать комплекс в одном браузере на одном рабочем месте — во избежание задвоения лицензионного ключа на сервере лицензирования.</w:t>
      </w:r>
    </w:p>
    <w:p>
      <w:pPr>
        <w:keepNext/>
        <w:spacing w:before="220" w:after="100"/>
        <w:ind w:firstLine="0"/>
        <w:jc w:val="center"/>
      </w:pPr>
      <w:r>
        <w:rPr>
          <w:rFonts w:ascii="Times New Roman" w:hAnsi="Times New Roman"/>
          <w:b/>
          <w:sz w:val="24"/>
        </w:rPr>
        <w:t>3. Требования к сетевой инфраструктуре</w:t>
      </w:r>
    </w:p>
    <w:p>
      <w:pPr>
        <w:spacing w:before="0" w:after="6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3.1. Для активации и обновления ПО, а также для работы браузерной версии в правилах межсетевого экрана Лицензиата должен быть разрешён исходящий доступ: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протокол HTTPS, порт 443;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домен пвсистема.рф и его поддомены;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домен functions.poehali.dev (сервер лицензирования, проверки ключей и кабинета организации).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3.2. Использование прокси-сервера допускается при условии передачи заголовков авторизации без изменений.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3.3. Сервер лицензирования и кабинет организации (раздел мониторинга лицензий и рабочих мест) работают через домен functions.poehali.dev. Если доступ к нему закрыт, вход в кабинет организации и проверка ключей будут недоступны при открытом домене пвсистема.рф.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3.4. При установке на терминальный сервер или в среду виртуализации количество одновременных сеансов не должно превышать количества рабочих мест, указанного в пункте 1.5 Договора.</w:t>
      </w:r>
    </w:p>
    <w:p>
      <w:pPr>
        <w:keepNext/>
        <w:spacing w:before="220" w:after="100"/>
        <w:ind w:firstLine="0"/>
        <w:jc w:val="center"/>
      </w:pPr>
      <w:r>
        <w:rPr>
          <w:rFonts w:ascii="Times New Roman" w:hAnsi="Times New Roman"/>
          <w:b/>
          <w:sz w:val="24"/>
        </w:rPr>
        <w:t>4. Порядок установки и приёмки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4.1. Установка и настройка ПО выполняются Лицензиаром удалённо с использованием средств удалённого доступа, согласованных службой информационной безопасности Лицензиата.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4.2. Лицензиат обеспечивает готовность рабочих мест к установке в соответствии с настоящим Приложением и предоставляет доступ уполномоченным специалистам Лицензиара.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4.3. Несоответствие рабочих мест настоящим требованиям не является основанием для отказа Лицензиата от подписания акта приёма-передачи неисключительных прав.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4.4. Лицензиар не несёт ответственности за некорректную работу ПО, вызванную несоответствием рабочих мест требованиям настоящего Приложения, а также действием средств антивирусной защиты и ограничениями политик безопасности Лицензиата.</w:t>
      </w:r>
    </w:p>
    <w:p>
      <w:pPr>
        <w:keepNext/>
        <w:spacing w:before="220" w:after="100"/>
        <w:ind w:firstLine="0"/>
        <w:jc w:val="center"/>
      </w:pPr>
      <w:r>
        <w:rPr>
          <w:rFonts w:ascii="Times New Roman" w:hAnsi="Times New Roman"/>
          <w:b/>
          <w:sz w:val="24"/>
        </w:rPr>
        <w:t>5. Техническая поддержка</w:t>
      </w:r>
    </w:p>
    <w:p>
      <w:pPr>
        <w:spacing w:before="0" w:after="6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5.1. Техническая поддержка оказывается в режиме 24/7 по следующим каналам: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телефон: +7 (933) 044-70-17;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электронная почта: pvsistema@mail.ru;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сайт: пвсистема.рф.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5.2. Срок реакции на обращение — не более 4 (четырёх) часов с момента его регистрации.</w:t>
      </w:r>
    </w:p>
    <w:p>
      <w:pPr>
        <w:spacing w:before="200" w:after="120"/>
        <w:ind w:left="0" w:firstLine="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04"/>
        <w:gridCol w:w="4904"/>
      </w:tblGrid>
      <w:tr>
        <w:tc>
          <w:tcPr>
            <w:tcW w:type="dxa" w:w="4904"/>
          </w:tcPr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ЛИЦЕНЗИАР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Директор АНО ДПО «УЦГГН»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_______________ / И. Н. Басантаев /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М.П.</w:t>
            </w:r>
          </w:p>
        </w:tc>
        <w:tc>
          <w:tcPr>
            <w:tcW w:type="dxa" w:w="4904"/>
          </w:tcPr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ЛИЦЕНЗИАТ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Генеральный директор</w:t>
              <w:br/>
              <w:t>АО «Богословское рудоуправление»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_______________ / О. А. Зубков /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М.П.</w:t>
            </w:r>
          </w:p>
        </w:tc>
      </w:tr>
    </w:tbl>
    <w:p>
      <w:r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04"/>
        <w:gridCol w:w="4904"/>
      </w:tblGrid>
      <w:tr>
        <w:tc>
          <w:tcPr>
            <w:tcW w:type="dxa" w:w="4422"/>
          </w:tcPr>
          <w:p/>
        </w:tc>
        <w:tc>
          <w:tcPr>
            <w:tcW w:type="dxa" w:w="5386"/>
          </w:tcPr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Приложение № 2</w:t>
            </w:r>
          </w:p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к сублицензионному договору</w:t>
            </w:r>
          </w:p>
          <w:p>
            <w:pPr>
              <w:spacing w:after="0" w:line="240" w:lineRule="auto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№ ______ от «____» __________ 2026 г.</w:t>
            </w:r>
          </w:p>
        </w:tc>
      </w:tr>
    </w:tbl>
    <w:p>
      <w:pPr>
        <w:spacing w:before="0" w:after="120"/>
        <w:ind w:left="0" w:firstLine="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200"/>
        <w:ind w:firstLine="0"/>
        <w:jc w:val="center"/>
      </w:pPr>
      <w:r>
        <w:rPr>
          <w:rFonts w:ascii="Times New Roman" w:hAnsi="Times New Roman"/>
          <w:b/>
          <w:sz w:val="26"/>
        </w:rPr>
        <w:t>ФОРМА АКТА</w:t>
        <w:br/>
        <w:t>ПРИЁМА-ПЕРЕДАЧИ НЕИСКЛЮЧИТЕЛЬНЫХ ПРАВ</w:t>
      </w:r>
    </w:p>
    <w:p>
      <w:pPr>
        <w:spacing w:before="0" w:after="200"/>
        <w:ind w:left="0" w:firstLine="0"/>
        <w:jc w:val="center"/>
      </w:pPr>
      <w:r>
        <w:rPr>
          <w:rFonts w:ascii="Times New Roman" w:hAnsi="Times New Roman"/>
          <w:b w:val="0"/>
          <w:i/>
          <w:sz w:val="20"/>
        </w:rPr>
        <w:t>(форма; заполняется и подписывается Сторонами при передаче права использования ПО)</w:t>
      </w:r>
    </w:p>
    <w:p>
      <w:pPr>
        <w:spacing w:after="40"/>
        <w:ind w:firstLine="0"/>
        <w:jc w:val="center"/>
      </w:pPr>
      <w:r>
        <w:rPr>
          <w:rFonts w:ascii="Times New Roman" w:hAnsi="Times New Roman"/>
          <w:b/>
          <w:sz w:val="26"/>
        </w:rPr>
        <w:t>АКТ № ______</w:t>
      </w:r>
    </w:p>
    <w:p>
      <w:pPr>
        <w:spacing w:after="200"/>
        <w:ind w:firstLine="0"/>
        <w:jc w:val="center"/>
      </w:pPr>
      <w:r>
        <w:rPr>
          <w:rFonts w:ascii="Times New Roman" w:hAnsi="Times New Roman"/>
          <w:sz w:val="23"/>
        </w:rPr>
        <w:t>приёма-передачи неисключительных прав</w:t>
        <w:br/>
        <w:t>по сублицензионному договору № ______ от «____» __________ 2026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04"/>
        <w:gridCol w:w="4904"/>
      </w:tblGrid>
      <w:tr>
        <w:tc>
          <w:tcPr>
            <w:tcW w:type="dxa" w:w="4876"/>
          </w:tcPr>
          <w:p>
            <w:pPr>
              <w:ind w:firstLine="0"/>
            </w:pPr>
            <w:r>
              <w:rPr>
                <w:rFonts w:ascii="Times New Roman" w:hAnsi="Times New Roman"/>
                <w:sz w:val="24"/>
              </w:rPr>
              <w:t>г. Сибай</w:t>
            </w:r>
          </w:p>
        </w:tc>
        <w:tc>
          <w:tcPr>
            <w:tcW w:type="dxa" w:w="4932"/>
          </w:tcPr>
          <w:p>
            <w:pPr>
              <w:ind w:firstLine="0"/>
              <w:jc w:val="right"/>
            </w:pPr>
            <w:r>
              <w:rPr>
                <w:rFonts w:ascii="Times New Roman" w:hAnsi="Times New Roman"/>
                <w:sz w:val="24"/>
              </w:rPr>
              <w:t>«____» ______________ 2026 г.</w:t>
            </w:r>
          </w:p>
        </w:tc>
      </w:tr>
    </w:tbl>
    <w:p>
      <w:pPr>
        <w:spacing w:before="0" w:after="120"/>
        <w:ind w:left="0" w:firstLine="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Автономная некоммерческая организация дополнительного профессионального образования «Учебный центр ГорГазНефть» в лице директора Басантаева Искандера Нургалеевича, действующего на основании Устава, действующая на условиях сублицензии (правообладатель программы — Ипатов Сергей Генадьевич), именуемая в дальнейшем «Лицензиар», с одной стороны, и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Акционерное общество «Богословское рудоуправление» в лице генерального директора Зубкова Олега Александровича, действующего на основании Устава, именуемое в дальнейшем «Лицензиат», с другой стороны, составили настоящий акт о нижеследующем:</w:t>
      </w:r>
    </w:p>
    <w:p>
      <w:pPr>
        <w:spacing w:before="160" w:after="10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1. Во исполнение сублицензионного договора № ______ от «____» __________ 2026 г. (далее — «Договор») Лицензиар предоставил, а Лицензиат принял право использования программы для ЭВМ на условиях простой (неисключительной) лицензии: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328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Наименование программы для ЭВМ</w:t>
            </w:r>
          </w:p>
        </w:tc>
        <w:tc>
          <w:tcPr>
            <w:tcW w:type="dxa" w:w="652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Программный комплекс «ПВ-Система»</w:t>
            </w:r>
          </w:p>
        </w:tc>
      </w:tr>
      <w:tr>
        <w:tc>
          <w:tcPr>
            <w:tcW w:type="dxa" w:w="328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Версия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______________________</w:t>
            </w:r>
          </w:p>
        </w:tc>
      </w:tr>
      <w:tr>
        <w:tc>
          <w:tcPr>
            <w:tcW w:type="dxa" w:w="328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Свидетельство о государственной</w:t>
              <w:br/>
              <w:t>регистрации программы для ЭВМ</w:t>
            </w:r>
          </w:p>
        </w:tc>
        <w:tc>
          <w:tcPr>
            <w:tcW w:type="dxa" w:w="652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№ 2026681414 от 14.07.2026,</w:t>
              <w:br/>
              <w:t>Федеральная служба по интеллектуальной собственности;</w:t>
              <w:br/>
              <w:t>правообладатель — Ипатов Сергей Генадьевич</w:t>
            </w:r>
          </w:p>
        </w:tc>
      </w:tr>
      <w:tr>
        <w:tc>
          <w:tcPr>
            <w:tcW w:type="dxa" w:w="328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Вид лицензии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Простая (неисключительная), на условиях сублицензии</w:t>
            </w:r>
          </w:p>
        </w:tc>
      </w:tr>
      <w:tr>
        <w:tc>
          <w:tcPr>
            <w:tcW w:type="dxa" w:w="328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Количество рабочих мест</w:t>
            </w:r>
          </w:p>
        </w:tc>
        <w:tc>
          <w:tcPr>
            <w:tcW w:type="dxa" w:w="652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______ (__________________________)</w:t>
            </w:r>
          </w:p>
        </w:tc>
      </w:tr>
      <w:tr>
        <w:tc>
          <w:tcPr>
            <w:tcW w:type="dxa" w:w="328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Территория использования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Российская Федерация</w:t>
            </w:r>
          </w:p>
        </w:tc>
      </w:tr>
      <w:tr>
        <w:tc>
          <w:tcPr>
            <w:tcW w:type="dxa" w:w="328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Срок использования</w:t>
            </w:r>
          </w:p>
        </w:tc>
        <w:tc>
          <w:tcPr>
            <w:tcW w:type="dxa" w:w="652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 (один) год с даты подписания настоящего акта,</w:t>
              <w:br/>
              <w:t>по «____» __________ 20____ г. включительно</w:t>
            </w:r>
          </w:p>
        </w:tc>
      </w:tr>
      <w:tr>
        <w:tc>
          <w:tcPr>
            <w:tcW w:type="dxa" w:w="3288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Лицензионный ключ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3288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Вид ключа</w:t>
            </w:r>
          </w:p>
        </w:tc>
        <w:tc>
          <w:tcPr>
            <w:tcW w:type="dxa" w:w="6520"/>
            <w:shd w:val="clear" w:fill="F4F8FC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браузерный / настольный / аварийный (нужное указать)</w:t>
            </w:r>
          </w:p>
        </w:tc>
      </w:tr>
    </w:tbl>
    <w:p>
      <w:pPr>
        <w:spacing w:before="160" w:after="6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2. Одновременно с ключом активации Лицензиар передал Лицензиату: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дистрибутив программного комплекса «ПВ-Система»;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эксплуатационную документацию (руководство пользователя);</w:t>
      </w:r>
    </w:p>
    <w:p>
      <w:pPr>
        <w:spacing w:before="0" w:after="80"/>
        <w:ind w:left="425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сведения, необходимые для установки и активации ПО.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Передача осуществлена в электронной форме по адресу электронной почты Лицензиата, указанному в разделе 13 Договора.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3. Установка и настройка ПО на рабочих местах Лицензиата выполнены Лицензиаром удалённо в полном объёме. Работоспособность ПО проверена; ПО функционирует в соответствии с эксплуатационной документацией.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4. Размер вознаграждения Лицензиара по Договору составляет _______________ (___________________________________) рублей 00 копеек, налогом на добавленную стоимость не облагается на основании подпункта 26 пункта 2 статьи 149 Налогового кодекса Российской Федерации.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5. Обязательства Лицензиара по предоставлению права использования ПО исполнены надлежащим образом и в полном объёме. Претензий по объёму, качеству и срокам предоставления права Лицензиат не имеет.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6. Настоящий акт составлен в 2 (двух) экземплярах, имеющих равную юридическую силу, по одному для каждой из Сторон, и является неотъемлемой частью Договора.</w:t>
      </w:r>
    </w:p>
    <w:p>
      <w:pPr>
        <w:spacing w:before="0" w:after="80"/>
        <w:ind w:left="0" w:firstLine="425"/>
        <w:jc w:val="both"/>
      </w:pPr>
      <w:r>
        <w:rPr>
          <w:rFonts w:ascii="Times New Roman" w:hAnsi="Times New Roman"/>
          <w:b w:val="0"/>
          <w:i w:val="0"/>
          <w:sz w:val="24"/>
        </w:rPr>
        <w:t>7. С даты подписания настоящего акта исчисляется срок предоставления права использования ПО в соответствии с пунктом 3.2 Договора.</w:t>
      </w:r>
    </w:p>
    <w:p>
      <w:pPr>
        <w:spacing w:before="240" w:after="120"/>
        <w:ind w:left="0" w:firstLine="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04"/>
        <w:gridCol w:w="4904"/>
      </w:tblGrid>
      <w:tr>
        <w:tc>
          <w:tcPr>
            <w:tcW w:type="dxa" w:w="4904"/>
          </w:tcPr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ЛИЦЕНЗИАР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Директор АНО ДПО «УЦГГН»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_______________ / И. Н. Басантаев /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М.П.</w:t>
            </w:r>
          </w:p>
        </w:tc>
        <w:tc>
          <w:tcPr>
            <w:tcW w:type="dxa" w:w="4904"/>
          </w:tcPr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ЛИЦЕНЗИАТ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Генеральный директор</w:t>
              <w:br/>
              <w:t>АО «Богословское рудоуправление»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_______________ / О. А. Зубков /</w:t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</w:r>
          </w:p>
          <w:p>
            <w:pPr>
              <w:spacing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М.П.</w:t>
            </w:r>
          </w:p>
        </w:tc>
      </w:tr>
    </w:tbl>
    <w:sectPr w:rsidR="00FC693F" w:rsidRPr="0006063C" w:rsidSect="00034616">
      <w:pgSz w:w="11906" w:h="16838"/>
      <w:pgMar w:top="850" w:right="68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