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ind w:firstLine="0"/>
        <w:jc w:val="center"/>
      </w:pPr>
      <w:r>
        <w:rPr>
          <w:b/>
          <w:i w:val="0"/>
          <w:sz w:val="28"/>
        </w:rPr>
        <w:t>СУБЛИЦЕНЗИОННЫЙ ДОГОВОР № ______</w:t>
      </w:r>
    </w:p>
    <w:p>
      <w:pPr>
        <w:spacing w:after="200" w:before="0"/>
        <w:ind w:firstLine="0"/>
        <w:jc w:val="center"/>
      </w:pPr>
      <w:r>
        <w:rPr>
          <w:b w:val="0"/>
          <w:i w:val="0"/>
          <w:sz w:val="22"/>
        </w:rPr>
        <w:t>о предоставлении права использования программы для ЭВМ «ПВ-Система»</w:t>
        <w:br/>
        <w:t>с правом дальнейшего сублицензирования</w:t>
        <w:br/>
        <w:t>(новая редакция)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r>
              <w:t>г. Сибай</w:t>
            </w:r>
          </w:p>
        </w:tc>
        <w:tc>
          <w:tcPr>
            <w:tcW w:type="dxa" w:w="4904"/>
          </w:tcPr>
          <w:p>
            <w:pPr>
              <w:jc w:val="right"/>
            </w:pPr>
            <w:r>
              <w:t>«____» ______________ 2026 г.</w:t>
            </w:r>
          </w:p>
        </w:tc>
      </w:tr>
    </w:tbl>
    <w:p>
      <w:pPr>
        <w:spacing w:after="40" w:before="0"/>
        <w:ind w:firstLine="425"/>
        <w:jc w:val="both"/>
      </w:pPr>
      <w:r>
        <w:rPr>
          <w:b w:val="0"/>
          <w:i w:val="0"/>
          <w:sz w:val="24"/>
        </w:rPr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Индивидуальный предприниматель Ипатова Лилия Салаватовна (ОГРНИП 326028000140852, ИНН 026704655416), действующая на основании лицензионного договора (с правом сублицензирования) № ______ от «____» __________ 2026 г., заключённого с правообладателем программы — Ипатовым Сергеем Генадьевичем (далее — «Лицензионный договор»), именуемая в дальнейшем «Лицензиат», с одной стороны, и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Автономная некоммерческая организация дополнительного профессионального образования «Учебный центр ГорГазНефть» (АНО ДПО «УЦГГН», ОГРН 1250200012281, ИНН 0268104892) в лице директора Басантаева Искандера Нургалеевича, действующего на основании Устава, именуемая в дальнейшем «Сублицензиат», с другой стороны,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совместно именуемые «Стороны», заключили настоящий договор (далее — «Договор») о нижеследующем: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1. ТЕРМИНЫ И ОПРЕДЕЛЕНИЯ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1.1. Программа (ПО) — программа для ЭВМ «ПВ-Система» (Проектирование вентиляции и водоснабжения рудников), свидетельство о государственной регистрации программы для ЭВМ № 2026681414, дата государственной регистрации в Реестре программ для ЭВМ 14 июля 2026 г. (заявка № 2026668092), включая её последующие версии, обновления, справочники и эксплуатационную документацию.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1.2. Правообладатель — гражданин Российской Федерации Ипатов Сергей Генадьевич, обладатель исключительного права на Программу на основании авторства.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1.3. Простая (неисключительная) лицензия — право использования Программы, предоставляемое Сублицензиату с сохранением за Правообладателем и Лицензиатом права выдачи лицензий другим лицам.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1.4. Конечный пользователь — физическое или юридическое лицо, в том числе образовательная или научная организация, использующее Программу для решения собственных задач без права её перепродажи и дальнейшего сублицензирования.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1.5. Договор с Конечным пользователем — сублицензионный договор, заключаемый Сублицензиатом с Конечным пользователем от своего имени на основании Договора.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1.6. Отчёт — письменный отчёт Сублицензиата о заключённых Договорах с Конечными пользователями по форме Приложения № 3.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2. ПРЕДМЕТ ДОГОВОРА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2.1. Лицензиат на условиях сублицензии (пункт 1 статьи 1238 Гражданского кодекса Российской Федерации (далее — ГК РФ)) предоставляет Сублицензиату простую (неисключительную) лицензию на использование Программы способами, указанными в пункте 2.4 Договора. Копия Лицензионного договора является Приложением № 1 к Договору.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2.2. Программа предоставляется в электронном виде путём загрузки с сервера Правообладателя по адресу https://пв-система.рф.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2.3. Территория использования — Российская Федерация.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2.4. Сублицензиат вправе использовать Программу следующими способами: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воспроизведение Программы (установка, запуск) в целях демонстрации, обучения, установки и технической поддержки Конечных пользователей;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использование Программы в собственной образовательной деятельности, в том числе при реализации программ дополнительного профессионального образования;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распространение экземпляров Программы Конечным пользователям;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предоставление Конечным пользователям права использования Программы по Договорам с Конечными пользователями — на возмездной основе, а в образовательных и научных целях (образовательным организациям высшего и среднего профессионального образования, научным организациям) — также на безвозмездной основе;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предоставление демонстрационного (пробного) доступа к Программе;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использование наименования Программы, её описаний и документации в рекламных и информационных материалах.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2.5. Количество Конечных пользователей и рабочих мест не ограничивается.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2.6. Сублицензиат вправе получать доход от заключения Договоров с Конечными пользователями. Стоимость лицензий для Конечных пользователей определяется Сублицензиатом с учётом рекомендуемой методики расчёта (Приложение № 2).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2.7. Вознаграждение Лицензиату за предоставление права по Договору составляет ____ % от сумм, фактически полученных Сублицензиатом по Договорам с Конечными пользователями, и выплачивается ежеквартально в течение 10 (десяти) рабочих дней после согласования Отчёта. По безвозмездным Договорам с Конечными пользователями вознаграждение не начисляется.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2.8. Лицензиат гарантирует, что Лицензионный договор действует, предоставляет Лицензиату право сублицензирования с правом дальнейшего сублицензирования в объёме не меньшем, чем предусмотрено Договором, и что Правообладатель дал на это письменное согласие (пункт 4.2 Лицензионного договора).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3. УСЛОВИЯ ДОГОВОРОВ С КОНЕЧНЫМИ ПОЛЬЗОВАТЕЛЯМИ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3.1. Лицензиат даёт Сублицензиату письменное согласие на заключение Договоров с Конечными пользователями (пункт 1 статьи 1238 ГК РФ) на весь срок действия Договора.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3.2. Договор с Конечным пользователем должен содержать: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указание на то, что право предоставляется на условиях сублицензии;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указание на Правообладателя — Ипатова Сергея Генадьевича — и номер свидетельства о государственной регистрации Программы;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запрет на дальнейшее сублицензирование, модификацию, декомпиляцию Программы и передачу ключей активации третьим лицам;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условие о том, что ответственность за исходные данные и за решения, принятые на основании расчётов, несёт Конечный пользователь;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срок, количество рабочих мест и территорию использования, не превышающие предусмотренных Договором.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3.3. Срок Договора с Конечным пользователем устанавливается Сублицензиатом, но не может выходить за пределы срока действия Договора (пункт 3 статьи 1238 ГК РФ). Рекомендуемый срок коммерческой лицензии — 1 (один) год; для образовательных и научных организаций допускается срок до 3 (трёх) лет.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3.4. Объём прав Конечного пользователя не может превышать объёма прав, полученных Сублицензиатом по Договору (пункт 2 статьи 1238 ГК РФ).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3.5. Ответственность перед Лицензиатом за действия Конечных пользователей несёт Сублицензиат, если иное не предусмотрено Договором с Конечным пользователем (пункт 4 статьи 1238 ГК РФ).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3.6. Сублицензиат вправе предъявлять Конечным пользователям копию Договора, копию Лицензионного договора и письменное согласие Правообладателя.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4. ПРАВА И ОБЯЗАННОСТИ СТОРОН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4.1. Лицензиат обязуется: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предоставить Сублицензиату доступ к Программе, документацию и инструкцию по использованию не позднее 5 (пяти) рабочих дней с даты подписания Договора;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совместно с Правообладателем обеспечивать техническую поддержку: срок ответа — 1 (один) рабочий день; объём — ответы на вопросы, исправление ошибок, обновление Программы в течение всего срока действия Договора;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обеспечивать выдачу ключей активации для Конечных пользователей по заявкам Сублицензиата в течение 1 (одного) рабочего дня;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обеспечивать устранение программных сбоев, возникших по вине Правообладателя или Лицензиата, в течение 3 (трёх) рабочих дней с даты заявки Сублицензиата или Конечного пользователя;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 совершать действий, препятствующих Сублицензиату и Конечным пользователям в использовании Программы в пределах предоставленных прав;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незамедлительно письменно уведомить Сублицензиата об изменении или прекращении Лицензионного договора;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предоставлять Сублицензиату информацию об обновлениях и новых версиях Программы.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4.2. Сублицензиат обязуется: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использовать Программу строго в пределах прав, предоставленных Договором;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 модифицировать, не декомпилировать и не изменять структуру Программы без письменного согласия Правообладателя;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обеспечивать сохранность знаков охраны авторского права и сведений о Правообладателе на экземплярах Программы;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заключать Договоры с Конечными пользователями в соответствии с разделом 3 Договора;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 отчуждать исключительное право на Программу и не предоставлять права, выходящие за пределы Договора;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предоставлять Лицензиату Отчёты не реже одного раза в квартал — до 10-го числа месяца, следующего за отчётным кварталом;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уведомлять Лицензиата обо всех известных случаях нарушения исключительного права на Программу.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5. СРОК ДЕЙСТВИЯ И ПОРЯДОК РАСТОРЖЕНИЯ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5.1. Договор вступает в силу с даты его подписания Сторонами и действует в течение 5 (пяти) лет, но не дольше срока действия Лицензионного договора.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5.2. Если ни одна из Сторон не позднее чем за 30 (тридцать) календарных дней до истечения срока действия Договора не заявит в письменной форме о его прекращении, Договор считается продлённым на каждый следующий срок в 5 (пять) лет на тех же условиях, при условии продления Лицензионного договора.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5.3. Лицензиат вправе отказаться от Договора в одностороннем внесудебном порядке в случаях: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существенного нарушения Сублицензиатом обязанностей, предусмотренных пунктом 4.2 Договора, не устранённого в течение 30 (тридцати) календарных дней с даты получения письменной претензии;</w:t>
      </w:r>
    </w:p>
    <w:p>
      <w:pPr>
        <w:spacing w:after="80" w:before="0"/>
        <w:ind w:left="425" w:firstLine="0"/>
        <w:jc w:val="both"/>
      </w:pPr>
      <w:r>
        <w:rPr>
          <w:b w:val="0"/>
          <w:i w:val="0"/>
          <w:sz w:val="24"/>
        </w:rPr>
        <w:t>— непредставления Отчётов более 2 (двух) раз подряд.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5.4. Сублицензиат вправе отказаться от Договора в одностороннем внесудебном порядке, уведомив Лицензиата не менее чем за 30 (тридцать) календарных дней.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5.5. При прекращении Договора или Лицензионного договора Договоры с Конечными пользователями, заключённые до даты прекращения, сохраняют силу до окончания предусмотренных в них сроков; Лицензиат обеспечивает Конечным пользователям техническую поддержку и работу ключей активации до окончания этих сроков.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6. ОТВЕТСТВЕННОСТЬ СТОРОН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6.1.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6.2. Лицензиат отвечает перед Сублицензиатом за наличие и объём прав, указанных в пункте 2.8 Договора, и возмещает Сублицензиату убытки, взысканные с него Конечными пользователями и третьими лицами в связи с отсутствием или недостаточностью таких прав либо с недостатками Программы, возникшими по вине Правообладателя или Лицензиата.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6.3. Сублицензиат отвечает перед Лицензиатом за нарушение условий раздела 3 Договора.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7. ЗАКЛЮЧИТЕЛЬНЫЕ ПОЛОЖЕНИЯ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7.1. Договор составлен в двух экземплярах, имеющих равную юридическую силу, по одному для каждой из Сторон.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7.2. Изменения и дополнения к Договору действительны, если совершены в письменной форме и подписаны Сторонами.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7.3. Стороны обязуются соблюдать конфиденциальность информации, ставшей им известной в ходе исполнения Договора.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7.4. Споры разрешаются путём переговоров, а при недостижении согласия — в Арбитражном суде Республики Башкортостан.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7.5. Во всём, что не урегулировано Договором, Стороны руководствуются законодательством Российской Федерации.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7.6. Договор не подлежит государственной регистрации. С даты подписания настоящая редакция заменяет ранее подписанный Сторонами сублицензионный договор от «20» июня 2026 г.; Договоры с Конечными пользователями, заключённые на его основании, сохраняют силу.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7.7. Приложения: № 1 — Копия Лицензионного договора; № 2 — Рекомендуемая методика расчёта стоимости лицензий; № 3 — Форма Отчёта.</w:t>
      </w:r>
    </w:p>
    <w:p>
      <w:pPr>
        <w:spacing w:after="100" w:before="160"/>
        <w:ind w:firstLine="0"/>
        <w:jc w:val="center"/>
      </w:pPr>
      <w:r>
        <w:rPr>
          <w:b/>
          <w:i w:val="0"/>
          <w:sz w:val="24"/>
        </w:rPr>
        <w:t>8. АДРЕСА, 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</w:tcPr>
          <w:p>
            <w:pPr>
              <w:spacing w:after="0"/>
            </w:pPr>
            <w:r/>
            <w:r>
              <w:rPr>
                <w:b/>
                <w:sz w:val="21"/>
              </w:rPr>
              <w:t>ЛИЦЕНЗИАТ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Индивидуальный предприниматель</w:t>
            </w:r>
          </w:p>
          <w:p>
            <w:pPr>
              <w:spacing w:after="0"/>
            </w:pPr>
            <w:r>
              <w:rPr>
                <w:b/>
                <w:sz w:val="21"/>
              </w:rPr>
              <w:t>Ипатова Лилия Салаватовна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ОГРНИП 326028000140852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ИНН 026704655416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Адрес: 453833, Республика Башкортостан,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г. Сибай, ул. Куйбышева, д. 12/1, кв. 19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Р/сч 40802810280690001419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в АО «АЛЬФА-БАНК»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К/сч 30101810200000000593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БИК 044525593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_______________ / Л. С. Ипатова /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М.П.</w:t>
            </w:r>
          </w:p>
        </w:tc>
        <w:tc>
          <w:tcPr>
            <w:tcW w:type="dxa" w:w="4904"/>
          </w:tcPr>
          <w:p>
            <w:pPr>
              <w:spacing w:after="0"/>
            </w:pPr>
            <w:r/>
            <w:r>
              <w:rPr>
                <w:b/>
                <w:sz w:val="21"/>
              </w:rPr>
              <w:t>СУБЛИЦЕНЗИАТ</w:t>
            </w:r>
          </w:p>
          <w:p>
            <w:pPr>
              <w:spacing w:after="0"/>
            </w:pPr>
            <w:r>
              <w:rPr>
                <w:b/>
                <w:sz w:val="21"/>
              </w:rPr>
              <w:t>АНО ДПО «Учебный центр ГорГазНефть»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ОГРН 1250200012281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ИНН 0268104892, КПП 026801001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Адрес: 453837, Республика Башкортостан,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г. Сибай, проспект Горняков, д. 22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Р/сч 40703810880690000003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в АО «АЛЬФА-БАНК»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К/сч 30101810200000000593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БИК 044525593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Директор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_______________ / И. Н. Басантаев /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М.П.</w:t>
            </w:r>
          </w:p>
        </w:tc>
      </w:tr>
    </w:tbl>
    <w:p>
      <w:pPr>
        <w:spacing w:after="120" w:before="0"/>
        <w:ind w:firstLine="425"/>
        <w:jc w:val="both"/>
      </w:pPr>
      <w:r>
        <w:rPr>
          <w:b w:val="0"/>
          <w:i w:val="0"/>
          <w:sz w:val="24"/>
        </w:rPr>
      </w:r>
    </w:p>
    <w:p>
      <w:pPr>
        <w:spacing w:after="80" w:before="160"/>
        <w:ind w:firstLine="0"/>
        <w:jc w:val="both"/>
      </w:pPr>
      <w:r>
        <w:rPr>
          <w:b w:val="0"/>
          <w:i w:val="0"/>
          <w:sz w:val="22"/>
        </w:rPr>
        <w:t>С условиями Договора, в том числе с предоставлением Сублицензиату права заключать Договоры с Конечными пользователями, ознакомлен и согласен.</w:t>
      </w:r>
    </w:p>
    <w:p>
      <w:pPr>
        <w:spacing w:after="80" w:before="0"/>
        <w:ind w:firstLine="0"/>
        <w:jc w:val="both"/>
      </w:pPr>
      <w:r>
        <w:rPr>
          <w:b w:val="0"/>
          <w:i w:val="0"/>
          <w:sz w:val="22"/>
        </w:rPr>
        <w:t>Правообладатель  _______________ / С. Г. Ипатов /</w:t>
      </w:r>
    </w:p>
    <w:p>
      <w:r>
        <w:br w:type="page"/>
      </w:r>
    </w:p>
    <w:p>
      <w:pPr>
        <w:spacing w:after="160" w:before="0"/>
        <w:ind w:firstLine="0"/>
        <w:jc w:val="right"/>
      </w:pPr>
      <w:r>
        <w:rPr>
          <w:b w:val="0"/>
          <w:i w:val="0"/>
          <w:sz w:val="20"/>
        </w:rPr>
        <w:t>Приложение № 1</w:t>
        <w:br/>
        <w:t>к сублицензионному договору № ______ от «____» __________ 2026 г.</w:t>
      </w:r>
    </w:p>
    <w:p>
      <w:pPr>
        <w:spacing w:after="160" w:before="0"/>
        <w:ind w:firstLine="0"/>
        <w:jc w:val="center"/>
      </w:pPr>
      <w:r>
        <w:rPr>
          <w:b/>
          <w:i w:val="0"/>
          <w:sz w:val="24"/>
        </w:rPr>
        <w:t>КОПИЯ ЛИЦЕНЗИОННОГО ДОГОВОРА</w:t>
      </w:r>
    </w:p>
    <w:p>
      <w:pPr>
        <w:spacing w:after="80" w:before="0"/>
        <w:ind w:firstLine="0"/>
        <w:jc w:val="both"/>
      </w:pPr>
      <w:r>
        <w:rPr>
          <w:b w:val="0"/>
          <w:i w:val="0"/>
          <w:sz w:val="24"/>
        </w:rPr>
        <w:t>Прилагается заверенная Лицензиатом копия лицензионного договора (с правом сублицензирования) № ______ от «____» __________ 2026 г. между Ипатовым Сергеем Генадьевичем и ИП Ипатовой Лилией Салаватовной.</w:t>
      </w:r>
    </w:p>
    <w:p>
      <w:r>
        <w:br w:type="page"/>
      </w:r>
    </w:p>
    <w:p>
      <w:pPr>
        <w:spacing w:after="160" w:before="0"/>
        <w:ind w:firstLine="0"/>
        <w:jc w:val="right"/>
      </w:pPr>
      <w:r>
        <w:rPr>
          <w:b w:val="0"/>
          <w:i w:val="0"/>
          <w:sz w:val="20"/>
        </w:rPr>
        <w:t>Приложение № 2</w:t>
        <w:br/>
        <w:t>к сублицензионному договору № ______ от «____» __________ 2026 г.</w:t>
      </w:r>
    </w:p>
    <w:p>
      <w:pPr>
        <w:spacing w:after="160" w:before="0"/>
        <w:ind w:firstLine="0"/>
        <w:jc w:val="center"/>
      </w:pPr>
      <w:r>
        <w:rPr>
          <w:b/>
          <w:i w:val="0"/>
          <w:sz w:val="24"/>
        </w:rPr>
        <w:t>РЕКОМЕНДУЕМАЯ МЕТОДИКА РАСЧЁТА СТОИМОСТИ ЛИЦЕНЗИЙ ДЛЯ КОНЕЧНЫХ ПОЛЬЗОВАТЕЛЕЙ</w:t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  <w:t>Стоимость годовой лицензии для опасного производственного объекта (ОПО) определяется исходя из протяжённости горных выработок, сложности вентиляционной сети и региона, с учётом базовой стоимости. Значения коэффициентов и базовой стоимости устанавливаются Сублицензиатом и могут пересматриваться.</w:t>
      </w:r>
    </w:p>
    <w:p>
      <w:pPr>
        <w:spacing w:after="80" w:before="0"/>
        <w:ind w:firstLine="0"/>
        <w:jc w:val="both"/>
      </w:pPr>
      <w:r>
        <w:rPr>
          <w:b w:val="0"/>
          <w:i w:val="0"/>
          <w:sz w:val="24"/>
        </w:rPr>
        <w:t>Примеры расчёта: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1"/>
        <w:gridCol w:w="1401"/>
        <w:gridCol w:w="1401"/>
        <w:gridCol w:w="1401"/>
        <w:gridCol w:w="1401"/>
        <w:gridCol w:w="1401"/>
        <w:gridCol w:w="1401"/>
      </w:tblGrid>
      <w:tr>
        <w:tc>
          <w:tcPr>
            <w:tcW w:type="dxa" w:w="140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Наименование ОПО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Протяж., м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Сложность (K_слож)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Регион (K_регион)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c_L, руб./м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Базовая стоимость, руб.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Итоговая стоимость, руб.</w:t>
            </w:r>
          </w:p>
        </w:tc>
      </w:tr>
      <w:tr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ООО «Новопетровское»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5 000,0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1,0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1,0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50,00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1 200 000,00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1 450 000,00</w:t>
            </w:r>
          </w:p>
        </w:tc>
      </w:tr>
      <w:tr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ООО «Якутское Золото»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5 000,0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1,0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1,2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50,00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1 200 000,00</w:t>
            </w:r>
          </w:p>
        </w:tc>
        <w:tc>
          <w:tcPr>
            <w:tcW w:type="dxa" w:w="14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1 740 000,00</w:t>
            </w:r>
          </w:p>
        </w:tc>
      </w:tr>
    </w:tbl>
    <w:p>
      <w:pPr>
        <w:spacing w:after="80" w:before="0"/>
        <w:ind w:firstLine="425"/>
        <w:jc w:val="both"/>
      </w:pPr>
      <w:r>
        <w:rPr>
          <w:b w:val="0"/>
          <w:i w:val="0"/>
          <w:sz w:val="24"/>
        </w:rPr>
      </w:r>
    </w:p>
    <w:p>
      <w:pPr>
        <w:spacing w:after="80" w:before="0"/>
        <w:ind w:firstLine="425"/>
        <w:jc w:val="both"/>
      </w:pPr>
      <w:r>
        <w:rPr>
          <w:b w:val="0"/>
          <w:i w:val="0"/>
          <w:sz w:val="22"/>
        </w:rPr>
        <w:t>Для образовательных и научных организаций в учебных и научных целях лицензия может предоставляться безвозмездно.</w:t>
      </w:r>
    </w:p>
    <w:p>
      <w:r>
        <w:br w:type="page"/>
      </w:r>
    </w:p>
    <w:p>
      <w:pPr>
        <w:spacing w:after="160" w:before="0"/>
        <w:ind w:firstLine="0"/>
        <w:jc w:val="right"/>
      </w:pPr>
      <w:r>
        <w:rPr>
          <w:b w:val="0"/>
          <w:i w:val="0"/>
          <w:sz w:val="20"/>
        </w:rPr>
        <w:t>Приложение № 3</w:t>
        <w:br/>
        <w:t>к сублицензионному договору № ______ от «____» __________ 2026 г.</w:t>
      </w:r>
    </w:p>
    <w:p>
      <w:pPr>
        <w:spacing w:after="160" w:before="0"/>
        <w:ind w:firstLine="0"/>
        <w:jc w:val="center"/>
      </w:pPr>
      <w:r>
        <w:rPr>
          <w:b/>
          <w:i w:val="0"/>
          <w:sz w:val="24"/>
        </w:rPr>
        <w:t>ФОРМА ОТЧЁТА</w:t>
        <w:br/>
        <w:t>о заключённых Договорах с Конечными пользователями за ___ квартал 20___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5"/>
        <w:gridCol w:w="1635"/>
        <w:gridCol w:w="1635"/>
        <w:gridCol w:w="1635"/>
        <w:gridCol w:w="1635"/>
        <w:gridCol w:w="1635"/>
      </w:tblGrid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Конечный пользователь (наименование, ИНН)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№ и дата договора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Срок лицензии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Кол-во рабочих мест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Сумма, руб. / безвозмездно</w:t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35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120" w:before="0"/>
        <w:ind w:firstLine="425"/>
        <w:jc w:val="both"/>
      </w:pPr>
      <w:r>
        <w:rPr>
          <w:b w:val="0"/>
          <w:i w:val="0"/>
          <w:sz w:val="24"/>
        </w:rPr>
      </w:r>
    </w:p>
    <w:p>
      <w:pPr>
        <w:spacing w:after="80" w:before="0"/>
        <w:ind w:firstLine="0"/>
        <w:jc w:val="both"/>
      </w:pPr>
      <w:r>
        <w:rPr>
          <w:b w:val="0"/>
          <w:i w:val="0"/>
          <w:sz w:val="24"/>
        </w:rPr>
        <w:t>Директор АНО ДПО «УЦГГН»  _______________ / И. Н. Басантаев /          «____» __________ 20___ г.</w:t>
      </w:r>
    </w:p>
    <w:sectPr w:rsidR="00FC693F" w:rsidRPr="0006063C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Сублицензионный договор Ипатова — АНО ДПО УЦГГН (ПВ-Система)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