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jc w:val="center"/>
            </w:pPr>
            <w:r>
              <w:rPr>
                <w:b/>
              </w:rPr>
            </w:r>
            <w:r>
              <w:rPr>
                <w:b w:val="0"/>
                <w:sz w:val="20"/>
              </w:rPr>
              <w:t>МЧС РОССИИ</w:t>
              <w:br/>
            </w:r>
            <w:r>
              <w:rPr>
                <w:b w:val="0"/>
                <w:sz w:val="20"/>
              </w:rPr>
              <w:t>ФЕДЕРАЛЬНОЕ ГОСУДАРСТВЕННОЕ</w:t>
              <w:br/>
            </w:r>
            <w:r>
              <w:rPr>
                <w:b w:val="0"/>
                <w:sz w:val="20"/>
              </w:rPr>
              <w:t>УНИТАРНОЕ ПРЕДПРИЯТИЕ</w:t>
              <w:br/>
            </w:r>
            <w:r>
              <w:rPr>
                <w:b w:val="0"/>
                <w:sz w:val="20"/>
              </w:rPr>
              <w:t>«ВОЕНИЗИРОВАННАЯ ГОРНОСПАСАТЕЛЬНАЯ</w:t>
              <w:br/>
            </w:r>
            <w:r>
              <w:rPr>
                <w:b w:val="0"/>
                <w:sz w:val="20"/>
              </w:rPr>
              <w:t>ЧАСТЬ»</w:t>
              <w:br/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>Филиал «__________________________»</w:t>
              <w:br/>
            </w:r>
            <w:r>
              <w:rPr>
                <w:b w:val="0"/>
                <w:sz w:val="20"/>
              </w:rPr>
              <w:t>(______________ ВГСО)</w:t>
              <w:br/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>________________________________</w:t>
              <w:br/>
            </w:r>
            <w:r>
              <w:rPr>
                <w:b w:val="0"/>
                <w:sz w:val="20"/>
              </w:rPr>
              <w:t>тел.: ____________, e-mail: ____________</w:t>
              <w:br/>
            </w:r>
            <w:r>
              <w:rPr>
                <w:b w:val="0"/>
                <w:sz w:val="20"/>
              </w:rPr>
              <w:br/>
            </w:r>
            <w:r>
              <w:rPr>
                <w:b w:val="0"/>
                <w:sz w:val="20"/>
              </w:rPr>
              <w:t>Исх. № ____________</w:t>
              <w:br/>
            </w:r>
            <w:r>
              <w:rPr>
                <w:b w:val="0"/>
                <w:sz w:val="20"/>
              </w:rPr>
              <w:t>от «___» ______________ 2026 г.</w:t>
              <w:br/>
            </w:r>
            <w:r>
              <w:rPr>
                <w:b w:val="0"/>
                <w:sz w:val="20"/>
              </w:rPr>
              <w:t>На № ____________ от ______________</w:t>
            </w:r>
          </w:p>
        </w:tc>
        <w:tc>
          <w:tcPr>
            <w:tcW w:type="dxa" w:w="4819"/>
          </w:tcPr>
          <w:p>
            <w:pPr>
              <w:jc w:val="left"/>
            </w:pPr>
            <w:r/>
            <w:r>
              <w:rPr>
                <w:b w:val="0"/>
                <w:sz w:val="26"/>
              </w:rPr>
              <w:t>Генеральному директору</w:t>
              <w:br/>
            </w:r>
            <w:r>
              <w:rPr>
                <w:b w:val="0"/>
                <w:sz w:val="26"/>
              </w:rPr>
              <w:t>ФГУП «Военизированная горноспасательная</w:t>
              <w:br/>
            </w:r>
            <w:r>
              <w:rPr>
                <w:b w:val="0"/>
                <w:sz w:val="26"/>
              </w:rPr>
              <w:t>часть» МЧС России</w:t>
              <w:br/>
            </w:r>
            <w:r>
              <w:rPr>
                <w:b w:val="0"/>
                <w:sz w:val="26"/>
              </w:rPr>
              <w:t>(ФГУП «ВГСЧ»)</w:t>
              <w:br/>
            </w:r>
            <w:r>
              <w:rPr>
                <w:b w:val="0"/>
                <w:sz w:val="26"/>
              </w:rPr>
              <w:br/>
            </w:r>
            <w:r>
              <w:rPr>
                <w:b w:val="0"/>
                <w:sz w:val="26"/>
              </w:rPr>
              <w:t>____________________________</w:t>
            </w:r>
          </w:p>
        </w:tc>
      </w:tr>
    </w:tbl>
    <w:p>
      <w:pPr>
        <w:spacing w:after="0"/>
      </w:pPr>
      <w:r>
        <w:rPr>
          <w:b w:val="0"/>
          <w:i w:val="0"/>
        </w:rPr>
      </w:r>
    </w:p>
    <w:p>
      <w:pPr>
        <w:spacing w:after="200"/>
        <w:jc w:val="left"/>
      </w:pPr>
      <w:r>
        <w:rPr>
          <w:b/>
          <w:i w:val="0"/>
          <w:sz w:val="24"/>
        </w:rPr>
        <w:t>О результатах тестирования программного комплекса «ПВ-Система» и выполнения инженерных расчётов по пункту 26 Инструкции № 520</w:t>
      </w:r>
    </w:p>
    <w:p>
      <w:pPr>
        <w:spacing w:after="160"/>
        <w:jc w:val="center"/>
      </w:pPr>
      <w:r>
        <w:rPr>
          <w:b/>
          <w:i w:val="0"/>
        </w:rPr>
        <w:t>Уважаемый ____________________________!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Докладываю, что в период с «___» ____________ 2026 г. по «___» ____________ 2026 г. в филиале «______________» ФГУП «ВГСЧ» (______________ ВГСО) проведено тестирование программного комплекса «ПВ-Система» (версия 2.191.587 от 02.10.2026; правообладатель — АНО ДПО «Учебный центр ГорГазНефть») на предмет его применения для выполнения инженерных расчётов, предусмотренных пунктом 26 Федеральных норм и правил в области промышленной безопасности «Инструкция по локализации и ликвидации последствий аварий на опасных производственных объектах, на которых ведутся горные работы», утверждённых приказом Ростехнадзора от 11.12.2020 № 520 (далее — Инструкция № 520).</w:t>
      </w:r>
    </w:p>
    <w:p>
      <w:pPr>
        <w:spacing w:after="80"/>
        <w:jc w:val="left"/>
      </w:pPr>
      <w:r>
        <w:rPr>
          <w:b/>
          <w:i w:val="0"/>
        </w:rPr>
        <w:t>1. Организация тестирования</w:t>
      </w:r>
    </w:p>
    <w:p>
      <w:pPr>
        <w:spacing w:after="80"/>
        <w:ind w:firstLine="709"/>
        <w:jc w:val="both"/>
      </w:pPr>
      <w:r>
        <w:rPr>
          <w:b w:val="0"/>
          <w:i w:val="0"/>
        </w:rPr>
        <w:t>Тестирование выполнялось рабочей группой в составе: ____________________________ (командир отделения), ____________________________ (помощник командира взвода), ____________________________ (инженер технического отделения ВГСО). Использовались настольная (автономная, без подключения к сети Интернет) и браузерная версии комплекса.</w:t>
      </w:r>
    </w:p>
    <w:p>
      <w:pPr>
        <w:spacing w:after="80"/>
        <w:ind w:firstLine="709"/>
        <w:jc w:val="both"/>
      </w:pPr>
      <w:r>
        <w:rPr>
          <w:b w:val="0"/>
          <w:i w:val="0"/>
        </w:rPr>
        <w:t>В качестве исходных данных приняты фактические вентиляционные схемы подземных рудников обслуживаемых предприятий, в том числе предприятий АО «Уральская горно-металлургическая компания», АО «Полиметалл» и ООО «Якутское золото», импортированные из форматов «Аэросеть», «Вентиляция-2» и Ventsim, а также введённые вручную. Объём тестовых схем — до ______ узлов и ______ ветвей.</w:t>
      </w:r>
    </w:p>
    <w:p>
      <w:pPr>
        <w:spacing w:after="40"/>
        <w:ind w:firstLine="709"/>
        <w:jc w:val="both"/>
      </w:pPr>
      <w:r>
        <w:rPr>
          <w:b w:val="0"/>
          <w:i w:val="0"/>
        </w:rPr>
        <w:t>Корректность результатов оценивалась по трём независимым критериям: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контрольный ручной счёт по формулам и номограммам нормативных документов при тех же исходных данных;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сопоставление с результатами расчётов в программном комплексе «Аэросеть» по одинаковым вентиляционным схемам;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сравнение расчётного воздухораспределения с данными последних депрессионных съёмок рудников.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/>
          <w:i w:val="0"/>
        </w:rPr>
        <w:t>2. Результаты тестирования расчётов по пункту 26 Инструкции № 520</w:t>
      </w:r>
    </w:p>
    <w:p>
      <w:pPr>
        <w:spacing w:after="80"/>
        <w:ind w:firstLine="709"/>
        <w:jc w:val="both"/>
      </w:pPr>
      <w:r>
        <w:rPr>
          <w:b w:val="0"/>
          <w:i w:val="0"/>
        </w:rPr>
        <w:t>Сводные результаты проверки приведены в таблице 1.</w:t>
      </w:r>
    </w:p>
    <w:p>
      <w:pPr>
        <w:spacing w:after="40"/>
        <w:jc w:val="right"/>
      </w:pPr>
      <w:r>
        <w:rPr>
          <w:b w:val="0"/>
          <w:i/>
          <w:sz w:val="22"/>
        </w:rPr>
        <w:t>Таблица 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154"/>
          </w:tcPr>
          <w:p>
            <w:pPr>
              <w:jc w:val="center"/>
            </w:pPr>
            <w:r/>
            <w:r>
              <w:rPr>
                <w:b/>
                <w:sz w:val="20"/>
              </w:rPr>
              <w:t>Вид расчёта</w:t>
            </w:r>
          </w:p>
        </w:tc>
        <w:tc>
          <w:tcPr>
            <w:tcW w:type="dxa" w:w="3855"/>
          </w:tcPr>
          <w:p>
            <w:pPr>
              <w:jc w:val="center"/>
            </w:pPr>
            <w:r/>
            <w:r>
              <w:rPr>
                <w:b/>
                <w:sz w:val="20"/>
              </w:rPr>
              <w:t>Что проверено</w:t>
            </w:r>
          </w:p>
        </w:tc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Критерий проверки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Результат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Воздухораспределение в нормальном и аварийных режимах проветривания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Расход и депрессия по ветвям сети; работа ГВУ по характеристикам с учётом угла установки лопаток и частоты вращения; реверсирование, остановка вентиляторов, закорачивание струй; рабочая точка вентилятора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Расхождение с «Аэросеть» и депрессионной съёмкой — не более ___ %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Тепловая депрессия пожара и устойчивость проветривания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Тепловая депрессия пожара, критическая депрессия, показатель устойчивости pу (Приложения № 2, 3), диаграмма h–Q, выявление выработок с опрокидыванием струи; акт устойчивости вентиляционных режимов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Распространение пожарных газов и зоны задымления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Концентрации CO и CO₂, оптическая плотность дыма, дальность видимости, время задымления, границы зон и перечень рабочих мест в зоне задымления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Оценка взрывоопасности рудничной атмосферы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Приложение № 11: формулы (1)–(5), определение положения точки на треугольниках взрываемости (рис. 1–6); расчётный лист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 и номограммами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Последствия взрыва и изолирующие сооружения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Давление на фронте ударной волны, зоны поражения, проверка устойчивости вентиляционных перемычек, толщина взрывоустойчивой перемычки; акт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Горноспасательные работы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Маршруты движения отделений ВГСЧ, время движения в задымлённых выработках, время работы в дыхательных аппаратах с учётом их защитного действия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7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Выход (вывод) людей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Время выхода горнорабочих с рабочих мест в безопасную зону, обеспеченность временем защитного действия самоспасателей, пункты переключения и камеры-убежища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  <w:tr>
        <w:tc>
          <w:tcPr>
            <w:tcW w:type="dxa" w:w="45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8</w:t>
            </w:r>
          </w:p>
        </w:tc>
        <w:tc>
          <w:tcPr>
            <w:tcW w:type="dxa" w:w="215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Противопожарное водоснабжение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Гидравлический расчёт трубопровода, напор и расход в точках водоразбора, обеспеченность пожарных кранов</w:t>
            </w:r>
          </w:p>
        </w:tc>
        <w:tc>
          <w:tcPr>
            <w:tcW w:type="dxa" w:w="1814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Совпадение с ручным счётом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b/>
                <w:sz w:val="20"/>
              </w:rPr>
              <w:t>Соответствует</w:t>
            </w:r>
          </w:p>
        </w:tc>
      </w:tr>
    </w:tbl>
    <w:p>
      <w:pPr>
        <w:spacing w:after="120"/>
      </w:pPr>
      <w:r>
        <w:rPr>
          <w:b w:val="0"/>
          <w:i w:val="0"/>
        </w:rPr>
      </w:r>
    </w:p>
    <w:p>
      <w:pPr>
        <w:spacing w:after="120"/>
        <w:ind w:firstLine="709"/>
        <w:jc w:val="both"/>
      </w:pPr>
      <w:r>
        <w:rPr>
          <w:b w:val="0"/>
          <w:i w:val="0"/>
        </w:rPr>
        <w:t>По всем видам расчётов результаты, полученные в комплексе «ПВ-Система», совпали с контрольным ручным счётом в пределах точности исходных данных; расхождение расчётного воздухораспределения с результатами депрессионных съёмок и с программным комплексом «Аэросеть» не превысило ___ %. Ошибок, приводящих к неверным выводам для оперативной части плана ликвидации аварий, не выявлено.</w:t>
      </w:r>
    </w:p>
    <w:p>
      <w:pPr>
        <w:spacing w:after="80"/>
        <w:jc w:val="left"/>
      </w:pPr>
      <w:r>
        <w:rPr>
          <w:b/>
          <w:i w:val="0"/>
        </w:rPr>
        <w:t>3. Оформление результатов</w:t>
      </w:r>
    </w:p>
    <w:p>
      <w:pPr>
        <w:spacing w:after="40"/>
        <w:ind w:firstLine="709"/>
        <w:jc w:val="both"/>
      </w:pPr>
      <w:r>
        <w:rPr>
          <w:b w:val="0"/>
          <w:i w:val="0"/>
        </w:rPr>
        <w:t>Результаты каждого расчёта оформляются в виде расчётных листов и актов в форматах Word, Excel и PDF с указанием исходных данных, применённых формул и нормативных ссылок, что позволяет проверить расчёт вручную и приложить его к оперативному плану без дополнительной переработки. Дополнительно опробованы: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печать вентиляционных схем и планов горных выработок на листах форматов А4–А0 со штампом, блоками «УТВЕРЖДАЮ» и «СОГЛАСОВАНО», условными обозначениями и позициями ПЛА;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построение маршрутов профилактического обследования (МПО) с расчётом длины и времени обхода, включая обследование пожарных кранов;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выгрузка рабочих точек вентиляторов главного проветривания в Excel с характеристиками по углам установки лопаток и линиями КПД;</w:t>
      </w:r>
    </w:p>
    <w:p>
      <w:pPr>
        <w:spacing w:after="0"/>
        <w:ind w:firstLine="709"/>
        <w:jc w:val="both"/>
      </w:pPr>
      <w:r>
        <w:rPr>
          <w:b w:val="0"/>
          <w:i w:val="0"/>
        </w:rPr>
        <w:t>— ведение справочников вентиляторов, перемычек, типов выработок, в том числе ввод пользовательских характеристик вентиляторов по паспортным данным.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80"/>
        <w:jc w:val="left"/>
      </w:pPr>
      <w:r>
        <w:rPr>
          <w:b/>
          <w:i w:val="0"/>
        </w:rPr>
        <w:t>4. Эксплуатационные характеристики</w:t>
      </w:r>
    </w:p>
    <w:p>
      <w:pPr>
        <w:spacing w:after="120"/>
        <w:ind w:firstLine="709"/>
        <w:jc w:val="both"/>
      </w:pPr>
      <w:r>
        <w:rPr>
          <w:b w:val="0"/>
          <w:i w:val="0"/>
        </w:rPr>
        <w:t>Настольная версия комплекса работает автономно, без доступа к сети Интернет, что обеспечивает её применение на командном пункте при ликвидации аварии и в изолированном контуре предприятия. Время полного пересчёта сети объёмом ______ ветвей составило ______ с. Интерфейс и терминология соответствуют практике горноспасательных подразделений; освоение комплекса личным составом заняло ______ рабочих дней.</w:t>
      </w:r>
    </w:p>
    <w:p>
      <w:pPr>
        <w:spacing w:after="80"/>
        <w:jc w:val="left"/>
      </w:pPr>
      <w:r>
        <w:rPr>
          <w:b/>
          <w:i w:val="0"/>
        </w:rPr>
        <w:t>5. Выводы и предложения</w:t>
      </w:r>
    </w:p>
    <w:p>
      <w:pPr>
        <w:spacing w:after="60"/>
        <w:ind w:firstLine="709"/>
        <w:jc w:val="both"/>
      </w:pPr>
      <w:r>
        <w:rPr>
          <w:b w:val="0"/>
          <w:i w:val="0"/>
        </w:rPr>
        <w:t>1. Программный комплекс «ПВ-Система» версии 2.191.587 обеспечивает выполнение в полном объёме инженерных расчётов, предусмотренных пунктом 26 Инструкции № 520, с корректными результатами, подтверждёнными ручным счётом и сопоставлением с независимыми источниками.</w:t>
      </w:r>
    </w:p>
    <w:p>
      <w:pPr>
        <w:spacing w:after="60"/>
        <w:ind w:firstLine="709"/>
        <w:jc w:val="both"/>
      </w:pPr>
      <w:r>
        <w:rPr>
          <w:b w:val="0"/>
          <w:i w:val="0"/>
        </w:rPr>
        <w:t>2. Формируемые комплексом расчётные листы и акты пригодны для включения в оперативную часть плана ликвидации аварий.</w:t>
      </w:r>
    </w:p>
    <w:p>
      <w:pPr>
        <w:spacing w:after="60"/>
        <w:ind w:firstLine="709"/>
        <w:jc w:val="both"/>
      </w:pPr>
      <w:r>
        <w:rPr>
          <w:b w:val="0"/>
          <w:i w:val="0"/>
        </w:rPr>
        <w:t>3. Применение комплекса поддержано обслуживаемыми предприятиями — АО «УГМК», АО «Полиметалл» и ООО «Якутское золото» (отзывы прилагаются). Использование единого программного продукта предприятием и горноспасательным подразделением исключает расхождение расчётных моделей и повторный ввод исходных данных при ликвидации аварии.</w:t>
      </w:r>
    </w:p>
    <w:p>
      <w:pPr>
        <w:spacing w:after="60"/>
        <w:ind w:firstLine="709"/>
        <w:jc w:val="both"/>
      </w:pPr>
      <w:r>
        <w:rPr>
          <w:b w:val="0"/>
          <w:i w:val="0"/>
        </w:rPr>
        <w:t>4. Предлагаю рассмотреть вопрос о применении программного комплекса «ПВ-Система» в подразделениях ФГУП «ВГСЧ» для выполнения расчётов по пункту 26 Инструкции № 520 при разработке и корректировке оперативных планов, а также при ликвидации аварий на обслуживаемых объектах.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left"/>
      </w:pPr>
      <w:r>
        <w:rPr>
          <w:b/>
          <w:i w:val="0"/>
        </w:rPr>
        <w:t>Приложения:</w:t>
      </w:r>
    </w:p>
    <w:p>
      <w:pPr>
        <w:spacing w:after="0"/>
        <w:ind w:firstLine="0"/>
        <w:jc w:val="both"/>
      </w:pPr>
      <w:r>
        <w:rPr>
          <w:b w:val="0"/>
          <w:i w:val="0"/>
        </w:rPr>
        <w:t>1. Отзыв АО «Уральская горно-металлургическая компания» о результатах проверки программного комплекса «ПВ-Система» на ___ л. в 1 экз.</w:t>
      </w:r>
    </w:p>
    <w:p>
      <w:pPr>
        <w:spacing w:after="0"/>
        <w:ind w:firstLine="0"/>
        <w:jc w:val="both"/>
      </w:pPr>
      <w:r>
        <w:rPr>
          <w:b w:val="0"/>
          <w:i w:val="0"/>
        </w:rPr>
        <w:t>2. Письмо АО «Полиметалл» об апробации программного комплекса «ПВ-Система» на подземных рудниках на ___ л. в 1 экз.</w:t>
      </w:r>
    </w:p>
    <w:p>
      <w:pPr>
        <w:spacing w:after="0"/>
        <w:ind w:firstLine="0"/>
        <w:jc w:val="both"/>
      </w:pPr>
      <w:r>
        <w:rPr>
          <w:b w:val="0"/>
          <w:i w:val="0"/>
        </w:rPr>
        <w:t>3. Отзыв ООО «Якутское золото» о применении программного комплекса «ПВ-Система» для расчётов по п. 26 Инструкции № 520 на ___ л. в 1 экз.</w:t>
      </w:r>
    </w:p>
    <w:p>
      <w:pPr>
        <w:spacing w:after="0"/>
        <w:ind w:firstLine="0"/>
        <w:jc w:val="both"/>
      </w:pPr>
      <w:r>
        <w:rPr>
          <w:b w:val="0"/>
          <w:i w:val="0"/>
        </w:rPr>
        <w:t>4. Расчётные листы и акты, сформированные в ходе тестирования, на ___ л. в 1 экз.</w:t>
      </w:r>
    </w:p>
    <w:p>
      <w:pPr>
        <w:spacing w:after="280"/>
      </w:pPr>
      <w:r>
        <w:rPr>
          <w:b w:val="0"/>
          <w:i w:val="0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b w:val="0"/>
                <w:sz w:val="24"/>
              </w:rPr>
              <w:t>____________________________</w:t>
              <w:br/>
            </w:r>
            <w:r>
              <w:rPr>
                <w:b w:val="0"/>
                <w:sz w:val="24"/>
              </w:rPr>
              <w:t>____________________________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sz w:val="24"/>
              </w:rPr>
              <w:t>_____________</w:t>
            </w:r>
          </w:p>
        </w:tc>
        <w:tc>
          <w:tcPr>
            <w:tcW w:type="dxa" w:w="3213"/>
          </w:tcPr>
          <w:p>
            <w:pPr>
              <w:jc w:val="right"/>
            </w:pPr>
            <w:r/>
            <w:r>
              <w:rPr>
                <w:b w:val="0"/>
                <w:sz w:val="24"/>
              </w:rPr>
              <w:t>___________________</w:t>
            </w:r>
          </w:p>
        </w:tc>
      </w:tr>
      <w:tr>
        <w:tc>
          <w:tcPr>
            <w:tcW w:type="dxa" w:w="3213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(должность)</w:t>
            </w:r>
          </w:p>
        </w:tc>
        <w:tc>
          <w:tcPr>
            <w:tcW w:type="dxa" w:w="3213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(подпись)</w:t>
            </w:r>
          </w:p>
        </w:tc>
        <w:tc>
          <w:tcPr>
            <w:tcW w:type="dxa" w:w="3213"/>
          </w:tcPr>
          <w:p>
            <w:pPr>
              <w:jc w:val="right"/>
            </w:pPr>
            <w:r/>
            <w:r>
              <w:rPr>
                <w:b w:val="0"/>
                <w:sz w:val="18"/>
              </w:rPr>
              <w:t>(И. О. Фамилия)</w:t>
            </w:r>
          </w:p>
        </w:tc>
      </w:tr>
    </w:tbl>
    <w:p>
      <w:pPr>
        <w:spacing w:after="280"/>
      </w:pPr>
      <w:r>
        <w:rPr>
          <w:b w:val="0"/>
          <w:i w:val="0"/>
        </w:rPr>
      </w:r>
    </w:p>
    <w:p>
      <w:pPr>
        <w:spacing w:after="0"/>
        <w:jc w:val="left"/>
      </w:pPr>
      <w:r>
        <w:rPr>
          <w:b w:val="0"/>
          <w:i w:val="0"/>
          <w:sz w:val="20"/>
        </w:rPr>
        <w:t>Исп. ____________________________</w:t>
      </w:r>
    </w:p>
    <w:p>
      <w:pPr>
        <w:spacing w:after="0"/>
        <w:jc w:val="left"/>
      </w:pPr>
      <w:r>
        <w:rPr>
          <w:b w:val="0"/>
          <w:i w:val="0"/>
          <w:sz w:val="20"/>
        </w:rPr>
        <w:t>тел. ____________________________</w:t>
      </w:r>
    </w:p>
    <w:sectPr w:rsidR="00FC693F" w:rsidRPr="0006063C" w:rsidSect="00034616">
      <w:pgSz w:w="11906" w:h="16838"/>
      <w:pgMar w:top="850" w:right="850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